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spacing w:after="0"/>
        <w:jc w:val="right"/>
        <w:rPr>
          <w:rFonts w:ascii="Times New Roman" w:cs="Times New Roman" w:hAnsi="Times New Roman"/>
          <w:sz w:val="20"/>
          <w:szCs w:val="20"/>
        </w:rPr>
      </w:pPr>
      <w:r>
        <w:rPr>
          <w:rFonts w:ascii="Times New Roman" w:cs="Times New Roman" w:hAnsi="Times New Roman"/>
          <w:sz w:val="20"/>
          <w:szCs w:val="20"/>
        </w:rPr>
        <w:t>APSTIPRINĀTS</w:t>
      </w:r>
    </w:p>
    <w:p w14:paraId="00000006">
      <w:pPr>
        <w:spacing w:after="0"/>
        <w:jc w:val="right"/>
        <w:rPr>
          <w:rFonts w:ascii="Times New Roman" w:cs="Times New Roman" w:hAnsi="Times New Roman"/>
          <w:sz w:val="20"/>
          <w:szCs w:val="20"/>
        </w:rPr>
      </w:pPr>
      <w:r>
        <w:rPr>
          <w:rFonts w:ascii="Times New Roman" w:cs="Times New Roman" w:hAnsi="Times New Roman"/>
          <w:sz w:val="20"/>
          <w:szCs w:val="20"/>
        </w:rPr>
        <w:t>SIA  “Latvijas Nacionālais sporta centrs”</w:t>
      </w:r>
    </w:p>
    <w:p w14:paraId="00000007">
      <w:pPr>
        <w:spacing w:after="0"/>
        <w:jc w:val="right"/>
        <w:rPr>
          <w:rFonts w:ascii="Times New Roman" w:cs="Times New Roman" w:hAnsi="Times New Roman"/>
          <w:sz w:val="20"/>
          <w:szCs w:val="20"/>
        </w:rPr>
      </w:pPr>
      <w:r>
        <w:rPr>
          <w:rFonts w:ascii="Times New Roman" w:cs="Times New Roman" w:hAnsi="Times New Roman"/>
          <w:sz w:val="20"/>
          <w:szCs w:val="20"/>
        </w:rPr>
        <w:t>Nekustamā īpašuma komisijas 2025</w:t>
      </w:r>
      <w:r>
        <w:rPr>
          <w:rFonts w:ascii="Times New Roman" w:cs="Times New Roman" w:hAnsi="Times New Roman"/>
          <w:sz w:val="20"/>
          <w:szCs w:val="20"/>
        </w:rPr>
        <w:t>.gada</w:t>
      </w:r>
      <w:r>
        <w:rPr>
          <w:rFonts w:ascii="Times New Roman" w:cs="Times New Roman" w:hAnsi="Times New Roman"/>
          <w:sz w:val="20"/>
          <w:szCs w:val="20"/>
        </w:rPr>
        <w:t xml:space="preserve"> 30. janvāra</w:t>
      </w:r>
      <w:r>
        <w:rPr>
          <w:rFonts w:ascii="Times New Roman" w:cs="Times New Roman" w:hAnsi="Times New Roman"/>
          <w:sz w:val="20"/>
          <w:szCs w:val="20"/>
        </w:rPr>
        <w:t xml:space="preserve"> </w:t>
      </w:r>
      <w:r>
        <w:rPr>
          <w:rFonts w:ascii="Times New Roman" w:cs="Times New Roman" w:hAnsi="Times New Roman"/>
          <w:sz w:val="20"/>
          <w:szCs w:val="20"/>
        </w:rPr>
        <w:t>sēdē</w:t>
      </w:r>
    </w:p>
    <w:p w14:paraId="00000008">
      <w:pPr>
        <w:spacing w:after="0"/>
        <w:jc w:val="right"/>
        <w:rPr>
          <w:rFonts w:ascii="Times New Roman" w:cs="Times New Roman" w:hAnsi="Times New Roman"/>
          <w:sz w:val="20"/>
          <w:szCs w:val="20"/>
        </w:rPr>
      </w:pPr>
      <w:r>
        <w:rPr>
          <w:rFonts w:ascii="Times New Roman" w:cs="Times New Roman" w:hAnsi="Times New Roman"/>
          <w:sz w:val="20"/>
          <w:szCs w:val="20"/>
        </w:rPr>
        <w:t xml:space="preserve">Protokols </w:t>
      </w:r>
      <w:r>
        <w:rPr>
          <w:rFonts w:ascii="Times New Roman" w:cs="Times New Roman" w:hAnsi="Times New Roman"/>
          <w:sz w:val="20"/>
          <w:szCs w:val="20"/>
        </w:rPr>
        <w:t>Nr.</w:t>
      </w:r>
      <w:r>
        <w:rPr>
          <w:rFonts w:ascii="Times New Roman" w:cs="Times New Roman" w:hAnsi="Times New Roman"/>
          <w:sz w:val="20"/>
          <w:szCs w:val="20"/>
        </w:rPr>
        <w:t xml:space="preserve"> </w:t>
      </w:r>
      <w:r>
        <w:rPr>
          <w:rFonts w:ascii="Times New Roman" w:cs="Times New Roman" w:hAnsi="Times New Roman"/>
          <w:sz w:val="20"/>
          <w:szCs w:val="20"/>
        </w:rPr>
        <w:t>1-16.1/9</w:t>
      </w:r>
    </w:p>
    <w:p w14:paraId="00000009">
      <w:pPr>
        <w:spacing w:after="0"/>
        <w:jc w:val="right"/>
        <w:rPr>
          <w:rFonts w:ascii="Times New Roman" w:cs="Times New Roman" w:hAnsi="Times New Roman"/>
        </w:rPr>
      </w:pPr>
    </w:p>
    <w:p w14:paraId="0000000A">
      <w:pPr>
        <w:spacing w:after="0"/>
        <w:jc w:val="right"/>
        <w:rPr>
          <w:rFonts w:ascii="Times New Roman" w:cs="Times New Roman" w:hAnsi="Times New Roman"/>
        </w:rPr>
      </w:pPr>
    </w:p>
    <w:p w14:paraId="0000000B">
      <w:pPr>
        <w:spacing w:after="0"/>
        <w:jc w:val="center"/>
        <w:rPr>
          <w:rFonts w:ascii="Times New Roman" w:cs="Times New Roman" w:hAnsi="Times New Roman"/>
          <w:b/>
        </w:rPr>
      </w:pPr>
      <w:r>
        <w:rPr>
          <w:rFonts w:ascii="Times New Roman" w:cs="Times New Roman" w:hAnsi="Times New Roman"/>
          <w:b/>
        </w:rPr>
        <w:t xml:space="preserve">NOMAS TIESĪBU </w:t>
      </w:r>
      <w:r>
        <w:rPr>
          <w:rFonts w:ascii="Times New Roman" w:cs="Times New Roman" w:eastAsia="Times New Roman" w:hAnsi="Times New Roman"/>
          <w:b/>
        </w:rPr>
        <w:t>RAKSTISKAS</w:t>
      </w:r>
      <w:r>
        <w:rPr>
          <w:rFonts w:ascii="Times New Roman" w:cs="Times New Roman" w:hAnsi="Times New Roman"/>
          <w:b/>
        </w:rPr>
        <w:t xml:space="preserve"> IZSOLES NOLIKUMS</w:t>
      </w:r>
    </w:p>
    <w:p w14:paraId="0000000C">
      <w:pPr>
        <w:spacing w:after="0"/>
        <w:jc w:val="center"/>
        <w:rPr>
          <w:rFonts w:ascii="Times New Roman" w:cs="Times New Roman" w:hAnsi="Times New Roman"/>
        </w:rPr>
      </w:pPr>
      <w:r>
        <w:rPr>
          <w:rFonts w:ascii="Times New Roman" w:cs="Times New Roman" w:hAnsi="Times New Roman"/>
        </w:rPr>
        <w:t xml:space="preserve">Par </w:t>
      </w:r>
      <w:r>
        <w:rPr>
          <w:rFonts w:ascii="Times New Roman" w:cs="Times New Roman" w:hAnsi="Times New Roman"/>
        </w:rPr>
        <w:t xml:space="preserve">divu āra tenisa kortu nomu, kas atrodas </w:t>
      </w:r>
      <w:r>
        <w:rPr>
          <w:rFonts w:ascii="Times New Roman" w:cs="Times New Roman" w:eastAsia="Times New Roman" w:hAnsi="Times New Roman"/>
        </w:rPr>
        <w:t>Augšielā 1, Rīgā</w:t>
      </w:r>
      <w:r>
        <w:rPr>
          <w:rFonts w:ascii="Times New Roman" w:cs="Times New Roman" w:hAnsi="Times New Roman"/>
        </w:rPr>
        <w:t>.</w:t>
      </w:r>
    </w:p>
    <w:p w14:paraId="0000000D">
      <w:pPr>
        <w:spacing w:after="0"/>
        <w:jc w:val="center"/>
        <w:rPr>
          <w:rFonts w:ascii="Times New Roman" w:cs="Times New Roman" w:hAnsi="Times New Roman"/>
        </w:rPr>
      </w:pPr>
      <w:r>
        <w:rPr>
          <w:rFonts w:ascii="Times New Roman" w:cs="Times New Roman" w:hAnsi="Times New Roman"/>
        </w:rPr>
        <w:t xml:space="preserve">Izsoles </w:t>
      </w:r>
      <w:r>
        <w:rPr>
          <w:rFonts w:ascii="Times New Roman" w:cs="Times New Roman" w:hAnsi="Times New Roman"/>
        </w:rPr>
        <w:t xml:space="preserve">identifikācijas </w:t>
      </w:r>
      <w:r>
        <w:rPr>
          <w:rFonts w:ascii="Times New Roman" w:cs="Times New Roman" w:hAnsi="Times New Roman"/>
        </w:rPr>
        <w:t>Nr.</w:t>
      </w:r>
      <w:r>
        <w:rPr>
          <w:rFonts w:ascii="Times New Roman" w:cs="Times New Roman" w:hAnsi="Times New Roman"/>
        </w:rPr>
        <w:t xml:space="preserve"> </w:t>
      </w:r>
      <w:r>
        <w:rPr>
          <w:rFonts w:ascii="Times New Roman" w:cs="Times New Roman" w:hAnsi="Times New Roman"/>
        </w:rPr>
        <w:t>1-16.2/4</w:t>
      </w:r>
    </w:p>
    <w:p w14:paraId="0000000E">
      <w:pPr>
        <w:spacing w:after="0"/>
        <w:jc w:val="center"/>
        <w:rPr>
          <w:rFonts w:ascii="Times New Roman" w:cs="Times New Roman" w:hAnsi="Times New Roman"/>
        </w:rPr>
      </w:pPr>
    </w:p>
    <w:p w14:paraId="0000000F">
      <w:pPr>
        <w:pStyle w:val="ListParagraph"/>
        <w:numPr>
          <w:ilvl w:val="0"/>
          <w:numId w:val="1"/>
        </w:numPr>
        <w:spacing w:after="0"/>
        <w:jc w:val="center"/>
        <w:rPr>
          <w:rFonts w:ascii="Times New Roman" w:cs="Times New Roman" w:hAnsi="Times New Roman"/>
          <w:b/>
        </w:rPr>
      </w:pPr>
      <w:r>
        <w:rPr>
          <w:rFonts w:ascii="Times New Roman" w:cs="Times New Roman" w:hAnsi="Times New Roman"/>
          <w:b/>
        </w:rPr>
        <w:t>Vispārīgie noteikumi</w:t>
      </w:r>
    </w:p>
    <w:p w14:paraId="0000001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Iznomātājs: </w:t>
      </w:r>
      <w:r>
        <w:rPr>
          <w:rFonts w:ascii="Times New Roman" w:cs="Times New Roman" w:eastAsia="Times New Roman" w:hAnsi="Times New Roman"/>
          <w:bCs/>
          <w:color w:val="000000"/>
        </w:rPr>
        <w:t>S</w:t>
      </w:r>
      <w:r>
        <w:rPr>
          <w:rFonts w:ascii="Times New Roman" w:cs="Times New Roman" w:eastAsia="Times New Roman" w:hAnsi="Times New Roman"/>
          <w:color w:val="000000"/>
        </w:rPr>
        <w:t>abiedrība ar ierobežotu atbildību “</w:t>
      </w:r>
      <w:r>
        <w:rPr>
          <w:rFonts w:ascii="Times New Roman" w:cs="Times New Roman" w:eastAsia="Times New Roman" w:hAnsi="Times New Roman"/>
          <w:color w:val="000000"/>
        </w:rPr>
        <w:t>Latvijas Nacionālais sporta centrs</w:t>
      </w:r>
      <w:r>
        <w:rPr>
          <w:rFonts w:ascii="Times New Roman" w:cs="Times New Roman" w:eastAsia="Times New Roman" w:hAnsi="Times New Roman"/>
          <w:color w:val="000000"/>
        </w:rPr>
        <w:t>” (turpmāk – Sabiedrība), reģistrācijas Nr.50003140671, juridiskā adrese: Augšiela 1, Rīga, LV-1009.</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bCs/>
          <w:color w:val="000000"/>
        </w:rPr>
        <w:t>Izsoli organizē:</w:t>
      </w:r>
      <w:r>
        <w:rPr>
          <w:rFonts w:ascii="Times New Roman" w:cs="Times New Roman" w:eastAsia="Times New Roman" w:hAnsi="Times New Roman"/>
          <w:color w:val="000000"/>
        </w:rPr>
        <w:t xml:space="preserve"> Sabiedrības </w:t>
      </w:r>
      <w:r>
        <w:rPr>
          <w:rFonts w:ascii="Times New Roman" w:cs="Times New Roman" w:eastAsia="Times New Roman" w:hAnsi="Times New Roman"/>
          <w:color w:val="000000"/>
        </w:rPr>
        <w:t>N</w:t>
      </w:r>
      <w:r>
        <w:rPr>
          <w:rFonts w:ascii="Times New Roman" w:cs="Times New Roman" w:eastAsia="Times New Roman" w:hAnsi="Times New Roman"/>
          <w:color w:val="000000"/>
        </w:rPr>
        <w:t xml:space="preserve">ekustamā īpašuma un inventāra iznomāšanas komisija (turpmāk – Komisija), kas izveidota saskaņā ar </w:t>
      </w:r>
      <w:r>
        <w:rPr>
          <w:rFonts w:ascii="Times New Roman" w:cs="Times New Roman" w:eastAsia="Times New Roman" w:hAnsi="Times New Roman"/>
          <w:color w:val="000000"/>
        </w:rPr>
        <w:t xml:space="preserve">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2">
      <w:pPr>
        <w:pStyle w:val="ListParagraph"/>
        <w:numPr>
          <w:ilvl w:val="1"/>
          <w:numId w:val="4"/>
        </w:numPr>
        <w:spacing w:after="0"/>
        <w:ind w:left="426" w:hanging="426"/>
        <w:jc w:val="both"/>
        <w:rPr>
          <w:rFonts w:ascii="Times New Roman" w:cs="Times New Roman" w:hAnsi="Times New Roman"/>
        </w:rPr>
      </w:pPr>
      <w:r>
        <w:rPr>
          <w:rFonts w:ascii="Times New Roman" w:cs="Times New Roman" w:hAnsi="Times New Roman"/>
        </w:rPr>
        <w:t>Nomas tiesību rakstveida izsoles nolikums (turpmāk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3">
      <w:pPr>
        <w:pStyle w:val="ListParagraph"/>
        <w:numPr>
          <w:ilvl w:val="1"/>
          <w:numId w:val="4"/>
        </w:numPr>
        <w:spacing w:after="0"/>
        <w:ind w:left="426" w:hanging="426"/>
        <w:jc w:val="both"/>
        <w:rPr>
          <w:rFonts w:ascii="Times New Roman" w:cs="Times New Roman" w:hAnsi="Times New Roman"/>
        </w:rPr>
      </w:pPr>
      <w:r>
        <w:rPr>
          <w:rFonts w:ascii="Times New Roman" w:cs="Times New Roman" w:hAnsi="Times New Roman"/>
          <w:b/>
        </w:rPr>
        <w:t xml:space="preserve">Izsoles veids: </w:t>
      </w:r>
      <w:r>
        <w:rPr>
          <w:rFonts w:ascii="Times New Roman" w:cs="Times New Roman" w:hAnsi="Times New Roman"/>
        </w:rPr>
        <w:t>pirmā</w:t>
      </w:r>
      <w:r>
        <w:rPr>
          <w:rFonts w:ascii="Times New Roman" w:cs="Times New Roman" w:hAnsi="Times New Roman"/>
        </w:rPr>
        <w:t xml:space="preserve"> izsole, rakstiska izsole ar augšupejošu soli.</w:t>
      </w:r>
    </w:p>
    <w:p w14:paraId="00000014">
      <w:pPr>
        <w:pStyle w:val="ListParagraph"/>
        <w:numPr>
          <w:ilvl w:val="1"/>
          <w:numId w:val="4"/>
        </w:numPr>
        <w:spacing w:after="0"/>
        <w:ind w:left="426" w:hanging="426"/>
        <w:jc w:val="both"/>
        <w:rPr>
          <w:rFonts w:ascii="Times New Roman" w:cs="Times New Roman" w:hAnsi="Times New Roman"/>
        </w:rPr>
      </w:pPr>
      <w:r>
        <w:rPr>
          <w:rFonts w:ascii="Times New Roman" w:cs="Times New Roman" w:hAnsi="Times New Roman"/>
          <w:b/>
        </w:rPr>
        <w:t xml:space="preserve">Izsoles identifikācijas </w:t>
      </w:r>
      <w:r>
        <w:rPr>
          <w:rFonts w:ascii="Times New Roman" w:cs="Times New Roman" w:hAnsi="Times New Roman"/>
          <w:b/>
        </w:rPr>
        <w:t>Nr.:</w:t>
      </w:r>
      <w:r>
        <w:rPr>
          <w:rFonts w:ascii="Times New Roman" w:cs="Times New Roman" w:hAnsi="Times New Roman"/>
          <w:b/>
        </w:rPr>
        <w:t xml:space="preserve"> 1-16.2/4</w:t>
      </w:r>
    </w:p>
    <w:p w14:paraId="00000015">
      <w:pPr>
        <w:pStyle w:val="ListParagraph"/>
        <w:numPr>
          <w:ilvl w:val="1"/>
          <w:numId w:val="4"/>
        </w:numPr>
        <w:spacing w:after="0"/>
        <w:ind w:left="426" w:hanging="426"/>
        <w:jc w:val="both"/>
        <w:rPr>
          <w:rFonts w:ascii="Times New Roman" w:cs="Times New Roman" w:hAnsi="Times New Roman"/>
        </w:rPr>
      </w:pPr>
      <w:r>
        <w:rPr>
          <w:rFonts w:ascii="Times New Roman" w:cs="Times New Roman" w:hAnsi="Times New Roman"/>
          <w:b/>
        </w:rPr>
        <w:t>Kontaktpersona:</w:t>
      </w:r>
      <w:r>
        <w:rPr>
          <w:rFonts w:ascii="Times New Roman" w:cs="Times New Roman" w:hAnsi="Times New Roman"/>
          <w:b/>
        </w:rPr>
        <w:t xml:space="preserve"> </w:t>
      </w:r>
      <w:bookmarkStart w:id="0" w:name="_Hlk11155810"/>
      <w:r>
        <w:rPr>
          <w:rFonts w:ascii="Times New Roman" w:cs="Times New Roman" w:hAnsi="Times New Roman"/>
          <w:b/>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6">
      <w:pPr>
        <w:spacing w:after="0"/>
        <w:jc w:val="both"/>
        <w:rPr>
          <w:rFonts w:ascii="Times New Roman" w:cs="Times New Roman" w:hAnsi="Times New Roman"/>
        </w:rPr>
      </w:pPr>
      <w:bookmarkEnd w:id="0"/>
      <w:r>
        <w:rPr>
          <w:rFonts w:ascii="Times New Roman" w:cs="Times New Roman" w:hAnsi="Times New Roman"/>
        </w:rPr>
        <w:t xml:space="preserve">     </w:t>
      </w:r>
    </w:p>
    <w:p w14:paraId="00000017">
      <w:pPr>
        <w:pStyle w:val="ListParagraph"/>
        <w:numPr>
          <w:ilvl w:val="0"/>
          <w:numId w:val="4"/>
        </w:numPr>
        <w:spacing w:after="0"/>
        <w:jc w:val="center"/>
        <w:rPr>
          <w:rFonts w:ascii="Times New Roman" w:cs="Times New Roman" w:hAnsi="Times New Roman"/>
          <w:b/>
        </w:rPr>
      </w:pPr>
      <w:r>
        <w:rPr>
          <w:rFonts w:ascii="Times New Roman" w:cs="Times New Roman" w:hAnsi="Times New Roman"/>
          <w:b/>
        </w:rPr>
        <w:t xml:space="preserve">Izsoles </w:t>
      </w:r>
      <w:r>
        <w:rPr>
          <w:rFonts w:ascii="Times New Roman" w:cs="Times New Roman" w:hAnsi="Times New Roman"/>
          <w:b/>
        </w:rPr>
        <w:t>objekts</w:t>
      </w:r>
    </w:p>
    <w:p w14:paraId="00000018">
      <w:pPr>
        <w:pStyle w:val="ListParagraph"/>
        <w:numPr>
          <w:ilvl w:val="1"/>
          <w:numId w:val="4"/>
        </w:numPr>
        <w:spacing w:after="0"/>
        <w:rPr>
          <w:rFonts w:ascii="Times New Roman" w:cs="Times New Roman" w:hAnsi="Times New Roman"/>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par divu āra tenisa kortu nomu Augšielā 1, Rīgā.</w:t>
      </w:r>
    </w:p>
    <w:p w14:paraId="00000019">
      <w:pPr>
        <w:pStyle w:val="ListParagraph"/>
        <w:numPr>
          <w:ilvl w:val="1"/>
          <w:numId w:val="4"/>
        </w:numPr>
        <w:pBdr>
          <w:top w:val="nil" w:sz="4" w:space="0"/>
          <w:left w:val="nil" w:sz="4" w:space="0"/>
          <w:bottom w:val="nil" w:sz="4" w:space="0"/>
          <w:right w:val="nil" w:sz="4" w:space="0"/>
          <w:between w:val="nil" w:sz="4" w:space="0"/>
        </w:pBdr>
        <w:shd w:val="clear" w:color="auto" w:fill="ffffff"/>
        <w:spacing w:after="0"/>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Objekta lietošanas mērķis:</w:t>
      </w:r>
      <w:r>
        <w:rPr>
          <w:rFonts w:ascii="Times New Roman" w:cs="Times New Roman" w:eastAsia="Times New Roman" w:hAnsi="Times New Roman"/>
        </w:rPr>
        <w:t xml:space="preserve"> mācību - treniņu procesa norise.</w:t>
      </w:r>
    </w:p>
    <w:p w14:paraId="0000001A">
      <w:pPr>
        <w:pStyle w:val="ListParagraph"/>
        <w:numPr>
          <w:ilvl w:val="1"/>
          <w:numId w:val="4"/>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i/>
          <w:color w:val="000000"/>
        </w:rPr>
      </w:pPr>
      <w:r>
        <w:rPr>
          <w:rFonts w:ascii="Times New Roman" w:cs="Times New Roman" w:eastAsia="Times New Roman" w:hAnsi="Times New Roman"/>
          <w:b/>
          <w:color w:val="000000"/>
        </w:rPr>
        <w:t xml:space="preserve">Izsoles sākumcena: EUR </w:t>
      </w:r>
      <w:r>
        <w:rPr>
          <w:rFonts w:ascii="Times New Roman" w:cs="Times New Roman" w:eastAsia="Times New Roman" w:hAnsi="Times New Roman"/>
          <w:b/>
          <w:highlight w:val="none"/>
        </w:rPr>
        <w:t>1</w:t>
      </w:r>
      <w:r>
        <w:rPr>
          <w:rFonts w:ascii="Times New Roman" w:cs="Times New Roman" w:eastAsia="Times New Roman" w:hAnsi="Times New Roman"/>
          <w:b/>
          <w:highlight w:val="none"/>
        </w:rPr>
        <w:t>583,64</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w:t>
      </w:r>
      <w:r>
        <w:rPr>
          <w:rFonts w:ascii="Times New Roman" w:cs="Times New Roman" w:eastAsia="Times New Roman" w:hAnsi="Times New Roman"/>
        </w:rPr>
        <w:t xml:space="preserve">viens tūkstotis </w:t>
      </w:r>
      <w:r>
        <w:rPr>
          <w:rFonts w:ascii="Times New Roman" w:cs="Times New Roman" w:eastAsia="Times New Roman" w:hAnsi="Times New Roman"/>
        </w:rPr>
        <w:t>pieci</w:t>
      </w:r>
      <w:r>
        <w:rPr>
          <w:rFonts w:ascii="Times New Roman" w:cs="Times New Roman" w:eastAsia="Times New Roman" w:hAnsi="Times New Roman"/>
        </w:rPr>
        <w:t xml:space="preserve"> simti </w:t>
      </w:r>
      <w:r>
        <w:rPr>
          <w:rFonts w:ascii="Times New Roman" w:cs="Times New Roman" w:eastAsia="Times New Roman" w:hAnsi="Times New Roman"/>
        </w:rPr>
        <w:t>astoņdesmit trīs</w:t>
      </w:r>
      <w:r>
        <w:rPr>
          <w:rFonts w:ascii="Times New Roman" w:cs="Times New Roman" w:eastAsia="Times New Roman" w:hAnsi="Times New Roman"/>
        </w:rPr>
        <w:t xml:space="preserve"> euro un 6</w:t>
      </w:r>
      <w:r>
        <w:rPr>
          <w:rFonts w:ascii="Times New Roman" w:cs="Times New Roman" w:eastAsia="Times New Roman" w:hAnsi="Times New Roman"/>
        </w:rPr>
        <w:t>4</w:t>
      </w:r>
      <w:r>
        <w:rPr>
          <w:rFonts w:ascii="Times New Roman" w:cs="Times New Roman" w:eastAsia="Times New Roman" w:hAnsi="Times New Roman"/>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B">
      <w:pPr>
        <w:pStyle w:val="ListParagraph"/>
        <w:numPr>
          <w:ilvl w:val="1"/>
          <w:numId w:val="4"/>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w:t>
      </w:r>
      <w:r>
        <w:rPr>
          <w:rFonts w:ascii="Times New Roman" w:cs="Times New Roman" w:eastAsia="Times New Roman" w:hAnsi="Times New Roman"/>
          <w:color w:val="000000"/>
          <w:highlight w:val="none"/>
        </w:rPr>
        <w:t>100,00</w:t>
      </w:r>
      <w:r>
        <w:rPr>
          <w:rFonts w:ascii="Times New Roman" w:cs="Times New Roman" w:eastAsia="Times New Roman" w:hAnsi="Times New Roman"/>
          <w:color w:val="000000"/>
        </w:rPr>
        <w:t xml:space="preserve"> (viens simts euro) mēnesī.</w:t>
      </w:r>
    </w:p>
    <w:p w14:paraId="0000001C">
      <w:pPr>
        <w:pStyle w:val="ListParagraph"/>
        <w:numPr>
          <w:ilvl w:val="1"/>
          <w:numId w:val="4"/>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i/>
          <w:color w:val="000000"/>
        </w:rPr>
      </w:pPr>
      <w:r>
        <w:rPr>
          <w:rFonts w:ascii="Times New Roman" w:cs="Times New Roman" w:eastAsia="Times New Roman" w:hAnsi="Times New Roman"/>
          <w:b/>
          <w:color w:val="000000"/>
        </w:rPr>
        <w:t>Objekta nomas termiņš:</w:t>
      </w:r>
      <w:r>
        <w:rPr>
          <w:rFonts w:ascii="Times New Roman" w:cs="Times New Roman" w:eastAsia="Times New Roman" w:hAnsi="Times New Roman"/>
          <w:color w:val="000000"/>
        </w:rPr>
        <w:t xml:space="preserve"> </w:t>
      </w:r>
      <w:bookmarkStart w:id="1" w:name="_Hlk98334655"/>
      <w:r>
        <w:rPr>
          <w:rFonts w:ascii="Times New Roman" w:cs="Times New Roman" w:eastAsia="Times New Roman" w:hAnsi="Times New Roman"/>
          <w:color w:val="000000"/>
        </w:rPr>
        <w:t>2025</w:t>
      </w:r>
      <w:r>
        <w:rPr>
          <w:rFonts w:ascii="Times New Roman" w:cs="Times New Roman" w:eastAsia="Times New Roman" w:hAnsi="Times New Roman"/>
          <w:color w:val="000000"/>
        </w:rPr>
        <w:t>.gada pavasara - rudens sezona, t.i., no 2025</w:t>
      </w:r>
      <w:r>
        <w:rPr>
          <w:rFonts w:ascii="Times New Roman" w:cs="Times New Roman" w:eastAsia="Times New Roman" w:hAnsi="Times New Roman"/>
          <w:color w:val="000000"/>
        </w:rPr>
        <w:t>.gada aprīļa vai maija līdz 202</w:t>
      </w:r>
      <w:r>
        <w:rPr>
          <w:rFonts w:ascii="Times New Roman" w:cs="Times New Roman" w:eastAsia="Times New Roman" w:hAnsi="Times New Roman"/>
          <w:color w:val="000000"/>
        </w:rPr>
        <w:t>4</w:t>
      </w:r>
      <w:r>
        <w:rPr>
          <w:rFonts w:ascii="Times New Roman" w:cs="Times New Roman" w:eastAsia="Times New Roman" w:hAnsi="Times New Roman"/>
          <w:color w:val="000000"/>
        </w:rPr>
        <w:t xml:space="preserve">.gada septembrim vai oktobrim. </w:t>
      </w:r>
      <w:bookmarkEnd w:id="1"/>
    </w:p>
    <w:p w14:paraId="0000001D">
      <w:pPr>
        <w:pStyle w:val="ListParagraph"/>
        <w:numPr>
          <w:ilvl w:val="1"/>
          <w:numId w:val="4"/>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Objekts tiek </w:t>
      </w:r>
      <w:r>
        <w:rPr>
          <w:rFonts w:ascii="Times New Roman" w:cs="Times New Roman" w:eastAsia="Times New Roman" w:hAnsi="Times New Roman"/>
          <w:b/>
          <w:color w:val="000000"/>
        </w:rPr>
        <w:t>nodots nomā bez aprīkojuma, iekārtām un citiem elementiem. Kvalitatīva pakalpojuma nodrošināšanai Pretendentam nepieciešamie ieguldījumi</w:t>
      </w:r>
      <w:r>
        <w:rPr>
          <w:rFonts w:ascii="Times New Roman" w:cs="Times New Roman" w:eastAsia="Times New Roman" w:hAnsi="Times New Roman"/>
          <w:color w:val="000000"/>
        </w:rPr>
        <w:t xml:space="preserve"> jāveic pašam pēc saviem ieskatiem, saskaņā ar jomu regulējošiem Latvijas Republikā spēkā esošajiem normatīvajiem aktiem.</w:t>
      </w:r>
    </w:p>
    <w:p w14:paraId="0000001E">
      <w:pPr>
        <w:pStyle w:val="ListParagraph"/>
        <w:numPr>
          <w:ilvl w:val="1"/>
          <w:numId w:val="4"/>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Sabiedrība atsevišķu pasākumu norises nodrošināšanai var noteikt ierobežojumus piekļūšanai Objektam un darbībai. Par ierobežojuma laiku un noteikumiem Objekta nomnieks tiek savlaicīgi informēts. Šajā gadījumā nomas maksa netiek aprēķināta par laika periodu, kad nomniekam ir liegta iespēja lietot Objektu.</w:t>
      </w:r>
    </w:p>
    <w:p w14:paraId="0000001F">
      <w:pPr>
        <w:pStyle w:val="ListParagraph"/>
        <w:numPr>
          <w:ilvl w:val="1"/>
          <w:numId w:val="4"/>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Papildus Objekta nomas maksai nomnieks maksā apsaimniekošanas maksu, maksu par  komunālajiem un citiem pakalpojumiem (piemēram, sakaru pakalpojumiem), ja Sabiedrība šādus pakalpojumus nodrošina.</w:t>
      </w:r>
    </w:p>
    <w:p w14:paraId="00000020">
      <w:pPr>
        <w:pStyle w:val="ListParagraph"/>
        <w:numPr>
          <w:ilvl w:val="1"/>
          <w:numId w:val="4"/>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Objektu vai to daļu apakšnomā trešajām personām.</w:t>
      </w:r>
    </w:p>
    <w:p w14:paraId="00000021">
      <w:pPr>
        <w:pStyle w:val="ListParagraph"/>
        <w:numPr>
          <w:ilvl w:val="1"/>
          <w:numId w:val="4"/>
        </w:numPr>
        <w:spacing w:after="0"/>
        <w:jc w:val="both"/>
        <w:rPr>
          <w:rFonts w:ascii="Times New Roman" w:cs="Times New Roman" w:hAnsi="Times New Roman"/>
          <w:b/>
        </w:rPr>
      </w:pPr>
      <w:r>
        <w:rPr>
          <w:rFonts w:ascii="Times New Roman" w:cs="Times New Roman" w:eastAsia="Times New Roman" w:hAnsi="Times New Roman"/>
          <w:color w:val="000000"/>
        </w:rPr>
        <w:t xml:space="preserve">Izsoles objektu pretendents var apskatīt tā atrašanās vietā, apskates laiku (darba dienās) iepriekš saskaņojot ar </w:t>
      </w:r>
      <w:r>
        <w:rPr>
          <w:rFonts w:ascii="Times New Roman" w:cs="Times New Roman" w:eastAsia="Times New Roman" w:hAnsi="Times New Roman"/>
        </w:rPr>
        <w:t>Kārli 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xml:space="preserve">, e-pasts: </w:t>
      </w:r>
      <w:r>
        <w:rPr>
          <w:rFonts w:ascii="Times New Roman" w:cs="Times New Roman" w:eastAsia="Times New Roman" w:hAnsi="Times New Roman"/>
          <w:color w:val="000000"/>
        </w:rPr>
        <w:t>karlis.trankalis</w:t>
      </w:r>
      <w:r>
        <w:rPr>
          <w:rFonts w:ascii="Times New Roman" w:cs="Times New Roman" w:eastAsia="Times New Roman" w:hAnsi="Times New Roman"/>
          <w:color w:val="000000"/>
        </w:rPr>
        <w:t>@lnsc.l</w:t>
      </w:r>
      <w:r>
        <w:rPr>
          <w:rFonts w:ascii="Times New Roman" w:cs="Times New Roman" w:eastAsia="Times New Roman" w:hAnsi="Times New Roman"/>
        </w:rPr>
        <w:t>v</w:t>
      </w:r>
    </w:p>
    <w:p w14:paraId="00000022">
      <w:pPr>
        <w:pStyle w:val="ListParagraph"/>
        <w:numPr>
          <w:ilvl w:val="0"/>
          <w:numId w:val="4"/>
        </w:numPr>
        <w:spacing w:after="0"/>
        <w:jc w:val="center"/>
        <w:rPr>
          <w:rFonts w:ascii="Times New Roman" w:cs="Times New Roman" w:hAnsi="Times New Roman"/>
          <w:b/>
        </w:rPr>
      </w:pPr>
      <w:r>
        <w:rPr>
          <w:rFonts w:ascii="Times New Roman" w:cs="Times New Roman" w:hAnsi="Times New Roman"/>
          <w:b/>
        </w:rPr>
        <w:t xml:space="preserve">Informācija </w:t>
      </w:r>
      <w:r>
        <w:rPr>
          <w:rFonts w:ascii="Times New Roman" w:cs="Times New Roman" w:hAnsi="Times New Roman"/>
          <w:b/>
        </w:rPr>
        <w:t>par izsoles publicēšanu</w:t>
      </w:r>
    </w:p>
    <w:p w14:paraId="0000002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un nolikumu Sabiedrība publicē savā mājaslapā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apakšsadaļā “Iepirkumi un izsoles”.</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5">
      <w:pPr>
        <w:pStyle w:val="ListParagraph"/>
        <w:spacing w:after="0"/>
        <w:ind w:left="426"/>
        <w:jc w:val="both"/>
        <w:rPr>
          <w:rFonts w:ascii="Times New Roman" w:cs="Times New Roman" w:hAnsi="Times New Roman"/>
          <w:b/>
          <w:i/>
        </w:rPr>
      </w:pPr>
    </w:p>
    <w:p w14:paraId="00000026">
      <w:pPr>
        <w:pStyle w:val="ListParagraph"/>
        <w:numPr>
          <w:ilvl w:val="0"/>
          <w:numId w:val="4"/>
        </w:numPr>
        <w:spacing w:after="0"/>
        <w:jc w:val="center"/>
        <w:rPr>
          <w:rFonts w:ascii="Times New Roman" w:cs="Times New Roman" w:hAnsi="Times New Roman"/>
          <w:b/>
        </w:rPr>
      </w:pPr>
      <w:r>
        <w:rPr>
          <w:rFonts w:ascii="Times New Roman" w:cs="Times New Roman" w:hAnsi="Times New Roman"/>
          <w:b/>
        </w:rPr>
        <w:t>Piedāvājuma</w:t>
      </w:r>
      <w:r>
        <w:rPr>
          <w:rFonts w:ascii="Times New Roman" w:cs="Times New Roman" w:hAnsi="Times New Roman"/>
          <w:b/>
        </w:rPr>
        <w:t xml:space="preserve"> iesniegšanas kārtība un prasības pretendentiem</w:t>
      </w:r>
    </w:p>
    <w:p w14:paraId="00000027">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 xml:space="preserve">Pretendents piedāvājumu </w:t>
      </w:r>
      <w:r>
        <w:rPr>
          <w:rFonts w:ascii="Times New Roman" w:cs="Times New Roman" w:hAnsi="Times New Roman"/>
        </w:rPr>
        <w:t xml:space="preserve">iesniedz līdz </w:t>
      </w:r>
      <w:r>
        <w:rPr>
          <w:rFonts w:ascii="Times New Roman" w:cs="Times New Roman" w:hAnsi="Times New Roman"/>
          <w:b/>
          <w:bCs/>
        </w:rPr>
        <w:t>2025</w:t>
      </w:r>
      <w:r>
        <w:rPr>
          <w:rFonts w:ascii="Times New Roman" w:cs="Times New Roman" w:hAnsi="Times New Roman"/>
          <w:b/>
          <w:bCs/>
        </w:rPr>
        <w:t>.gada 13</w:t>
      </w:r>
      <w:r>
        <w:rPr>
          <w:rFonts w:ascii="Times New Roman" w:cs="Times New Roman" w:hAnsi="Times New Roman"/>
          <w:b/>
          <w:bCs/>
        </w:rPr>
        <w:t>. februārim</w:t>
      </w:r>
      <w:r>
        <w:rPr>
          <w:rFonts w:ascii="Times New Roman" w:cs="Times New Roman" w:hAnsi="Times New Roman"/>
          <w:b/>
          <w:bCs/>
        </w:rPr>
        <w:t xml:space="preserve">  plkst. 1</w:t>
      </w:r>
      <w:r>
        <w:rPr>
          <w:rFonts w:ascii="Times New Roman" w:cs="Times New Roman" w:hAnsi="Times New Roman"/>
          <w:b/>
          <w:bCs/>
        </w:rPr>
        <w:t>1</w:t>
      </w:r>
      <w:r>
        <w:rPr>
          <w:rFonts w:ascii="Times New Roman" w:cs="Times New Roman" w:hAnsi="Times New Roman"/>
          <w:b/>
          <w:bCs/>
        </w:rPr>
        <w:t>:00</w:t>
      </w:r>
      <w:r>
        <w:rPr>
          <w:rFonts w:ascii="Times New Roman" w:cs="Times New Roman" w:hAnsi="Times New Roman"/>
        </w:rPr>
        <w:t xml:space="preserve"> </w:t>
      </w:r>
      <w:r>
        <w:rPr>
          <w:rFonts w:ascii="Times New Roman" w:cs="Times New Roman" w:hAnsi="Times New Roman"/>
        </w:rPr>
        <w:t xml:space="preserve">Sabiedrības Administrācijā, </w:t>
      </w:r>
      <w:r>
        <w:rPr>
          <w:rFonts w:ascii="Times New Roman" w:cs="Times New Roman" w:eastAsia="Times New Roman" w:hAnsi="Times New Roman"/>
          <w:color w:val="000000"/>
        </w:rPr>
        <w:t>Augšielā 1, Rīgā</w:t>
      </w:r>
      <w:r>
        <w:rPr>
          <w:rFonts w:ascii="Times New Roman" w:cs="Times New Roman" w:hAnsi="Times New Roman"/>
        </w:rPr>
        <w:t xml:space="preserve">, piedāvājumu iesniedzot personīgi vai nosūtot pa pastu. Pasta sūtījumiem jābūt saņemtiem Sabiedrībā līdz </w:t>
      </w:r>
      <w:r>
        <w:rPr>
          <w:rFonts w:ascii="Times New Roman" w:cs="Times New Roman" w:hAnsi="Times New Roman"/>
          <w:b/>
          <w:bCs/>
        </w:rPr>
        <w:t>2025</w:t>
      </w:r>
      <w:r>
        <w:rPr>
          <w:rFonts w:ascii="Times New Roman" w:cs="Times New Roman" w:hAnsi="Times New Roman"/>
          <w:b/>
          <w:bCs/>
        </w:rPr>
        <w:t>.gada 13</w:t>
      </w:r>
      <w:r>
        <w:rPr>
          <w:rFonts w:ascii="Times New Roman" w:cs="Times New Roman" w:hAnsi="Times New Roman"/>
          <w:b/>
          <w:bCs/>
        </w:rPr>
        <w:t>. februārim</w:t>
      </w:r>
      <w:r>
        <w:rPr>
          <w:rFonts w:ascii="Times New Roman" w:cs="Times New Roman" w:hAnsi="Times New Roman"/>
          <w:b/>
          <w:bCs/>
        </w:rPr>
        <w:t xml:space="preserve"> plkst. 1</w:t>
      </w:r>
      <w:r>
        <w:rPr>
          <w:rFonts w:ascii="Times New Roman" w:cs="Times New Roman" w:hAnsi="Times New Roman"/>
          <w:b/>
          <w:bCs/>
        </w:rPr>
        <w:t>1</w:t>
      </w:r>
      <w:r>
        <w:rPr>
          <w:rFonts w:ascii="Times New Roman" w:cs="Times New Roman" w:hAnsi="Times New Roman"/>
          <w:b/>
          <w:bCs/>
        </w:rPr>
        <w:t>:00</w:t>
      </w:r>
      <w:r>
        <w:rPr>
          <w:rFonts w:ascii="Times New Roman" w:cs="Times New Roman" w:hAnsi="Times New Roman"/>
        </w:rPr>
        <w:t>.</w:t>
      </w:r>
      <w:r>
        <w:rPr>
          <w:rFonts w:ascii="Times New Roman" w:cs="Times New Roman" w:hAnsi="Times New Roman"/>
        </w:rPr>
        <w:t xml:space="preserve"> </w:t>
      </w:r>
    </w:p>
    <w:p w14:paraId="00000028">
      <w:pPr>
        <w:pStyle w:val="ListParagraph"/>
        <w:numPr>
          <w:ilvl w:val="1"/>
          <w:numId w:val="4"/>
        </w:numPr>
        <w:spacing w:after="0"/>
        <w:ind w:left="426" w:hanging="426"/>
        <w:jc w:val="both"/>
        <w:rPr>
          <w:rFonts w:ascii="Times New Roman" w:cs="Times New Roman" w:hAnsi="Times New Roman"/>
        </w:rPr>
      </w:pPr>
      <w:r>
        <w:rPr>
          <w:rFonts w:ascii="Times New Roman" w:cs="Times New Roman" w:hAnsi="Times New Roman"/>
        </w:rPr>
        <w:t>Pretendents piedāvājumu noformē, aizpildot “Pieteikums izsolei” (Nolikuma 1.pielikums),</w:t>
      </w:r>
      <w:r>
        <w:rPr>
          <w:rFonts w:ascii="Times New Roman" w:cs="Times New Roman" w:hAnsi="Times New Roman"/>
        </w:rPr>
        <w:t xml:space="preserve"> kurā </w:t>
      </w:r>
      <w:r>
        <w:rPr>
          <w:rFonts w:ascii="Times New Roman" w:cs="Times New Roman" w:hAnsi="Times New Roman"/>
        </w:rPr>
        <w:t>norāda:</w:t>
      </w:r>
    </w:p>
    <w:p w14:paraId="00000029">
      <w:pPr>
        <w:pStyle w:val="ListParagraph"/>
        <w:numPr>
          <w:ilvl w:val="2"/>
          <w:numId w:val="4"/>
        </w:numPr>
        <w:spacing w:after="0"/>
        <w:ind w:left="1276" w:hanging="556"/>
        <w:jc w:val="both"/>
        <w:rPr>
          <w:rFonts w:ascii="Times New Roman" w:cs="Times New Roman" w:hAnsi="Times New Roman"/>
        </w:rPr>
      </w:pPr>
      <w:r>
        <w:rPr>
          <w:rFonts w:ascii="Times New Roman" w:cs="Times New Roman" w:hAnsi="Times New Roman"/>
        </w:rPr>
        <w:t>fiziska persona – vārdu, uzvārdu, personas kodu, deklarētās dzīvesvietas adresi;</w:t>
      </w:r>
      <w:r>
        <w:rPr>
          <w:rFonts w:ascii="Times New Roman" w:cs="Times New Roman" w:hAnsi="Times New Roman"/>
        </w:rPr>
        <w:t xml:space="preserve"> </w:t>
      </w:r>
      <w:r>
        <w:rPr>
          <w:rFonts w:ascii="Times New Roman" w:cs="Times New Roman" w:hAnsi="Times New Roman"/>
        </w:rPr>
        <w:t>juridiska persona – nosaukumu, reģistrācijas numuru, juridisko adresi;</w:t>
      </w:r>
    </w:p>
    <w:p w14:paraId="0000002A">
      <w:pPr>
        <w:pStyle w:val="ListParagraph"/>
        <w:numPr>
          <w:ilvl w:val="2"/>
          <w:numId w:val="4"/>
        </w:numPr>
        <w:spacing w:after="0"/>
        <w:ind w:left="1276" w:hanging="556"/>
        <w:jc w:val="both"/>
        <w:rPr>
          <w:rFonts w:ascii="Times New Roman" w:cs="Times New Roman" w:hAnsi="Times New Roman"/>
          <w:b/>
          <w:i/>
        </w:rPr>
      </w:pPr>
      <w:r>
        <w:rPr>
          <w:rFonts w:ascii="Times New Roman" w:cs="Times New Roman" w:hAnsi="Times New Roman"/>
        </w:rPr>
        <w:t>nomas tiesību pretendenta pārstāvja 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2B">
      <w:pPr>
        <w:pStyle w:val="ListParagraph"/>
        <w:numPr>
          <w:ilvl w:val="2"/>
          <w:numId w:val="4"/>
        </w:numPr>
        <w:spacing w:after="0"/>
        <w:ind w:left="1276" w:hanging="556"/>
        <w:jc w:val="both"/>
        <w:rPr>
          <w:rFonts w:ascii="Times New Roman" w:cs="Times New Roman" w:hAnsi="Times New Roman"/>
        </w:rPr>
      </w:pPr>
      <w:r>
        <w:rPr>
          <w:rFonts w:ascii="Times New Roman" w:cs="Times New Roman" w:hAnsi="Times New Roman"/>
        </w:rPr>
        <w:t>kontakttālruni un elektroniskā pasta adresi</w:t>
      </w:r>
      <w:r>
        <w:rPr>
          <w:rFonts w:ascii="Times New Roman" w:cs="Times New Roman" w:hAnsi="Times New Roman"/>
        </w:rPr>
        <w:t>;</w:t>
      </w:r>
    </w:p>
    <w:p w14:paraId="0000002C">
      <w:pPr>
        <w:pStyle w:val="ListParagraph"/>
        <w:numPr>
          <w:ilvl w:val="2"/>
          <w:numId w:val="4"/>
        </w:numPr>
        <w:tabs>
          <w:tab w:val="left" w:pos="1276"/>
        </w:tabs>
        <w:spacing w:after="0"/>
        <w:ind w:left="1276" w:hanging="556"/>
        <w:jc w:val="both"/>
        <w:rPr>
          <w:rFonts w:ascii="Times New Roman" w:cs="Times New Roman" w:hAnsi="Times New Roman"/>
        </w:rPr>
      </w:pPr>
      <w:r>
        <w:rPr>
          <w:rFonts w:ascii="Times New Roman" w:cs="Times New Roman" w:hAnsi="Times New Roman"/>
        </w:rPr>
        <w:t>Izsoles objekta adresi un platību;</w:t>
      </w:r>
    </w:p>
    <w:p w14:paraId="0000002D">
      <w:pPr>
        <w:pStyle w:val="ListParagraph"/>
        <w:numPr>
          <w:ilvl w:val="2"/>
          <w:numId w:val="4"/>
        </w:numPr>
        <w:tabs>
          <w:tab w:val="left" w:pos="1276"/>
        </w:tabs>
        <w:spacing w:after="0"/>
        <w:ind w:left="1276" w:hanging="556"/>
        <w:jc w:val="both"/>
        <w:rPr>
          <w:rFonts w:ascii="Times New Roman" w:cs="Times New Roman" w:hAnsi="Times New Roman"/>
        </w:rPr>
      </w:pPr>
      <w:r>
        <w:rPr>
          <w:rFonts w:ascii="Times New Roman" w:cs="Times New Roman" w:hAnsi="Times New Roman"/>
        </w:rPr>
        <w:t>nomas laikā plānotās darbības izsoles objektā;</w:t>
      </w:r>
    </w:p>
    <w:p w14:paraId="0000002E">
      <w:pPr>
        <w:pStyle w:val="ListParagraph"/>
        <w:numPr>
          <w:ilvl w:val="2"/>
          <w:numId w:val="4"/>
        </w:numPr>
        <w:tabs>
          <w:tab w:val="left" w:pos="1276"/>
        </w:tabs>
        <w:spacing w:after="0"/>
        <w:ind w:left="1276" w:hanging="556"/>
        <w:jc w:val="both"/>
        <w:rPr>
          <w:rFonts w:ascii="Times New Roman" w:cs="Times New Roman" w:hAnsi="Times New Roman"/>
        </w:rPr>
      </w:pPr>
      <w:r>
        <w:rPr>
          <w:rFonts w:ascii="Times New Roman" w:cs="Times New Roman" w:hAnsi="Times New Roman"/>
        </w:rPr>
        <w:t>piedāvāto nomas maksas apmēru par vienu iznomājamās platības kvadrātmetru mēnesī bez pievienotās vērtības nodokļa.</w:t>
      </w:r>
    </w:p>
    <w:p w14:paraId="0000002F">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Pretendents var iesniegt</w:t>
      </w:r>
      <w:r>
        <w:rPr>
          <w:rFonts w:ascii="Times New Roman" w:cs="Times New Roman" w:hAnsi="Times New Roman"/>
        </w:rPr>
        <w:t xml:space="preserve"> tikai vienu piedāvājuma variantu.</w:t>
      </w:r>
    </w:p>
    <w:p w14:paraId="00000030">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 xml:space="preserve">Piedāvājumam jābūt spēkā vismaz </w:t>
      </w:r>
      <w:r>
        <w:rPr>
          <w:rFonts w:ascii="Times New Roman" w:cs="Times New Roman" w:hAnsi="Times New Roman"/>
        </w:rPr>
        <w:t>1 (vienu) mēnesi</w:t>
      </w:r>
      <w:r>
        <w:rPr>
          <w:rFonts w:ascii="Times New Roman" w:cs="Times New Roman" w:hAnsi="Times New Roman"/>
        </w:rPr>
        <w:t xml:space="preserve"> no piedāvājuma atvēršanas brīža.</w:t>
      </w:r>
    </w:p>
    <w:p w14:paraId="00000031">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2">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Visi dokumenti iesniedzami latviešu valodā 1 (vienā) eksemplārā. Ārvalstīs izdotiem dokumentiem vai dokumentiem svešvalodā jāpievieno Pretendenta apliecināts dokumenta tulkojums latviešu valodā. Iesniegtie pieteikumi izsolei pretendentiem netiek atdoti atpakaļ.</w:t>
      </w:r>
    </w:p>
    <w:p w14:paraId="00000033">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hAnsi="Times New Roman"/>
          <w:b/>
        </w:rPr>
        <w:t>Uz aploksnes jānorāda šāda informācija:</w:t>
      </w:r>
    </w:p>
    <w:p w14:paraId="00000034">
      <w:pPr>
        <w:numPr>
          <w:ilvl w:val="2"/>
          <w:numId w:val="4"/>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Cs/>
          <w:color w:val="000000"/>
        </w:rPr>
        <w:t xml:space="preserve"> </w:t>
      </w:r>
      <w:r>
        <w:rPr>
          <w:rFonts w:ascii="Times New Roman" w:cs="Times New Roman" w:eastAsia="Times New Roman" w:hAnsi="Times New Roman"/>
          <w:bCs/>
          <w:color w:val="000000"/>
        </w:rPr>
        <w:t>Adresāts:</w:t>
      </w:r>
      <w:r>
        <w:rPr>
          <w:rFonts w:ascii="Times New Roman" w:cs="Times New Roman" w:eastAsia="Times New Roman" w:hAnsi="Times New Roman"/>
          <w:b/>
          <w:color w:val="000000"/>
        </w:rPr>
        <w:t xml:space="preserve"> </w:t>
      </w:r>
      <w:r>
        <w:rPr>
          <w:rFonts w:ascii="Times New Roman" w:cs="Times New Roman" w:eastAsia="Times New Roman" w:hAnsi="Times New Roman"/>
          <w:b/>
          <w:color w:val="000000"/>
        </w:rPr>
        <w:t>SIA „</w:t>
      </w:r>
      <w:r>
        <w:rPr>
          <w:rFonts w:ascii="Times New Roman" w:cs="Times New Roman" w:eastAsia="Times New Roman" w:hAnsi="Times New Roman"/>
          <w:b/>
          <w:color w:val="000000"/>
        </w:rPr>
        <w:t xml:space="preserve"> Latvijas Nacionālais sporta centrs</w:t>
      </w:r>
      <w:r>
        <w:rPr>
          <w:rFonts w:ascii="Times New Roman" w:cs="Times New Roman" w:eastAsia="Times New Roman" w:hAnsi="Times New Roman"/>
          <w:b/>
          <w:color w:val="000000"/>
        </w:rPr>
        <w:t>”, Augšiela 1, Rīga, LV-1009;</w:t>
      </w:r>
    </w:p>
    <w:p w14:paraId="00000035">
      <w:pPr>
        <w:pStyle w:val="ListParagraph"/>
        <w:numPr>
          <w:ilvl w:val="2"/>
          <w:numId w:val="4"/>
        </w:numPr>
        <w:spacing w:after="0"/>
        <w:jc w:val="both"/>
        <w:rPr>
          <w:rFonts w:ascii="Times New Roman" w:cs="Times New Roman" w:hAnsi="Times New Roman"/>
          <w:b/>
        </w:rPr>
      </w:pPr>
      <w:r>
        <w:rPr>
          <w:rFonts w:ascii="Times New Roman" w:cs="Times New Roman" w:hAnsi="Times New Roman"/>
          <w:b/>
        </w:rPr>
        <w:t xml:space="preserve"> „</w:t>
      </w:r>
      <w:r>
        <w:rPr>
          <w:rFonts w:ascii="Times New Roman" w:cs="Times New Roman" w:hAnsi="Times New Roman"/>
          <w:b/>
        </w:rPr>
        <w:t xml:space="preserve">Par </w:t>
      </w:r>
      <w:r>
        <w:rPr>
          <w:rFonts w:ascii="Times New Roman" w:cs="Times New Roman" w:hAnsi="Times New Roman"/>
          <w:b/>
        </w:rPr>
        <w:t>divu āra tenisa kortu</w:t>
      </w:r>
      <w:r>
        <w:rPr>
          <w:rFonts w:ascii="Times New Roman" w:cs="Times New Roman" w:hAnsi="Times New Roman"/>
          <w:b/>
        </w:rPr>
        <w:t xml:space="preserve"> nomu, kas atrodas Augšielā 1, Rīgā</w:t>
      </w:r>
      <w:r>
        <w:rPr>
          <w:rFonts w:ascii="Times New Roman" w:cs="Times New Roman" w:hAnsi="Times New Roman"/>
          <w:b/>
        </w:rPr>
        <w:t xml:space="preserve">, izsoles identifikācijas </w:t>
      </w:r>
      <w:r>
        <w:rPr>
          <w:rFonts w:ascii="Times New Roman" w:cs="Times New Roman" w:hAnsi="Times New Roman"/>
          <w:b/>
        </w:rPr>
        <w:t>Nr.</w:t>
      </w:r>
      <w:r>
        <w:rPr>
          <w:rFonts w:ascii="Times New Roman" w:cs="Times New Roman" w:hAnsi="Times New Roman"/>
          <w:b/>
        </w:rPr>
        <w:t xml:space="preserve"> 1-16.2/4</w:t>
      </w:r>
      <w:r>
        <w:rPr>
          <w:rFonts w:ascii="Times New Roman" w:cs="Times New Roman" w:hAnsi="Times New Roman"/>
          <w:b/>
        </w:rPr>
        <w:t>”</w:t>
      </w:r>
      <w:r>
        <w:rPr>
          <w:rFonts w:ascii="Times New Roman" w:cs="Times New Roman" w:hAnsi="Times New Roman"/>
          <w:bCs/>
        </w:rPr>
        <w:t>;</w:t>
      </w:r>
    </w:p>
    <w:p w14:paraId="00000036">
      <w:pPr>
        <w:pStyle w:val="ListParagraph"/>
        <w:numPr>
          <w:ilvl w:val="2"/>
          <w:numId w:val="4"/>
        </w:numPr>
        <w:spacing w:after="0"/>
        <w:jc w:val="both"/>
        <w:rPr>
          <w:rFonts w:ascii="Times New Roman" w:cs="Times New Roman" w:hAnsi="Times New Roman"/>
          <w:b/>
          <w:bCs/>
        </w:rPr>
      </w:pPr>
      <w:r>
        <w:rPr>
          <w:rFonts w:ascii="Times New Roman" w:cs="Times New Roman" w:hAnsi="Times New Roman"/>
          <w:b/>
          <w:bCs/>
        </w:rPr>
        <w:t>„</w:t>
      </w:r>
      <w:r>
        <w:rPr>
          <w:rFonts w:ascii="Times New Roman" w:cs="Times New Roman" w:hAnsi="Times New Roman"/>
          <w:b/>
          <w:bCs/>
        </w:rPr>
        <w:t>Neatvērt pirms piedāvājumu atvēršanas sanāksmes”;</w:t>
      </w:r>
    </w:p>
    <w:p w14:paraId="00000037">
      <w:pPr>
        <w:pStyle w:val="ListParagraph"/>
        <w:numPr>
          <w:ilvl w:val="2"/>
          <w:numId w:val="4"/>
        </w:numPr>
        <w:spacing w:after="0"/>
        <w:jc w:val="both"/>
        <w:rPr>
          <w:rFonts w:ascii="Times New Roman" w:cs="Times New Roman" w:hAnsi="Times New Roman"/>
          <w:b/>
          <w:bCs/>
        </w:rPr>
      </w:pPr>
      <w:r>
        <w:rPr>
          <w:rFonts w:ascii="Times New Roman" w:cs="Times New Roman" w:hAnsi="Times New Roman"/>
          <w:b/>
          <w:bCs/>
        </w:rPr>
        <w:t>Pretendenta nosaukums un juridiskā/deklarētā dzīvesvietas adrese.</w:t>
      </w:r>
    </w:p>
    <w:p w14:paraId="00000038">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Saņemtos piedāvājumus Sabiedrības darbinieks reģistrē izsoles piedāvājumu reģistrācijas lapā to saņemšanas secībā, uz aploksnes norādot reģistrācijas numuru, saņemšanas datumu un laiku, apliecinot to ar parakstu.</w:t>
      </w:r>
    </w:p>
    <w:p w14:paraId="00000039">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Piedāvājumus, kas iesniegti pēc Nolikuma 4.1.punktā noteiktā termiņa, Komisija nereģistrē un neatvērtu atgriež atpakaļ iesniedzējiem.</w:t>
      </w:r>
    </w:p>
    <w:p w14:paraId="0000003A">
      <w:pPr>
        <w:pStyle w:val="ListParagraph"/>
        <w:numPr>
          <w:ilvl w:val="1"/>
          <w:numId w:val="4"/>
        </w:numPr>
        <w:spacing w:after="0"/>
        <w:ind w:left="426" w:hanging="568"/>
        <w:jc w:val="both"/>
        <w:rPr>
          <w:rFonts w:ascii="Times New Roman" w:cs="Times New Roman" w:hAnsi="Times New Roman"/>
          <w:b/>
          <w:i/>
        </w:rPr>
      </w:pPr>
      <w:r>
        <w:rPr>
          <w:rFonts w:ascii="Times New Roman" w:cs="Times New Roman" w:hAnsi="Times New Roman"/>
        </w:rPr>
        <w:t>Komisija piedāvājumus glabā neatvērtus līdz izsoles sākumam.</w:t>
      </w:r>
    </w:p>
    <w:p w14:paraId="0000003B">
      <w:pPr>
        <w:pStyle w:val="ListParagraph"/>
        <w:numPr>
          <w:ilvl w:val="1"/>
          <w:numId w:val="4"/>
        </w:numPr>
        <w:spacing w:after="0"/>
        <w:ind w:left="426" w:hanging="568"/>
        <w:jc w:val="both"/>
        <w:rPr>
          <w:rFonts w:ascii="Times New Roman" w:cs="Times New Roman" w:hAnsi="Times New Roman"/>
          <w:b/>
          <w:i/>
        </w:rPr>
      </w:pPr>
      <w:r>
        <w:rPr>
          <w:rFonts w:ascii="Times New Roman" w:cs="Times New Roman" w:hAnsi="Times New Roman"/>
        </w:rPr>
        <w:t>Ziņas par pretendentiem un to skaitu netiek izpaustas līdz izsoles sākumam.</w:t>
      </w:r>
    </w:p>
    <w:p w14:paraId="0000003C">
      <w:pPr>
        <w:pStyle w:val="ListParagraph"/>
        <w:numPr>
          <w:ilvl w:val="0"/>
          <w:numId w:val="4"/>
        </w:numPr>
        <w:spacing w:after="0"/>
        <w:jc w:val="center"/>
        <w:rPr>
          <w:rFonts w:ascii="Times New Roman" w:cs="Times New Roman" w:hAnsi="Times New Roman"/>
          <w:b/>
        </w:rPr>
      </w:pPr>
      <w:r>
        <w:rPr>
          <w:rFonts w:ascii="Times New Roman" w:cs="Times New Roman" w:hAnsi="Times New Roman"/>
          <w:b/>
        </w:rPr>
        <w:t>Izsoles norises kārtība</w:t>
      </w:r>
    </w:p>
    <w:p w14:paraId="0000003D">
      <w:pPr>
        <w:pStyle w:val="ListParagraph"/>
        <w:numPr>
          <w:ilvl w:val="1"/>
          <w:numId w:val="4"/>
        </w:numPr>
        <w:spacing w:after="0"/>
        <w:ind w:left="426" w:hanging="426"/>
        <w:jc w:val="both"/>
        <w:rPr>
          <w:rFonts w:ascii="Times New Roman" w:cs="Times New Roman" w:hAnsi="Times New Roman"/>
          <w:i/>
        </w:rPr>
      </w:pPr>
      <w:r>
        <w:rPr>
          <w:rFonts w:ascii="Times New Roman" w:cs="Times New Roman" w:hAnsi="Times New Roman"/>
        </w:rPr>
        <w:t xml:space="preserve">Rakstiska izsole (pretendentu piedāvājumu atvēršana) </w:t>
      </w:r>
      <w:r>
        <w:rPr>
          <w:rFonts w:ascii="Times New Roman" w:cs="Times New Roman" w:hAnsi="Times New Roman"/>
        </w:rPr>
        <w:t xml:space="preserve">notiks </w:t>
      </w:r>
      <w:r>
        <w:rPr>
          <w:rFonts w:ascii="Times New Roman" w:cs="Times New Roman" w:hAnsi="Times New Roman"/>
          <w:b/>
          <w:bCs/>
        </w:rPr>
        <w:t>2025</w:t>
      </w:r>
      <w:r>
        <w:rPr>
          <w:rFonts w:ascii="Times New Roman" w:cs="Times New Roman" w:hAnsi="Times New Roman"/>
          <w:b/>
          <w:bCs/>
        </w:rPr>
        <w:t>. gada 13</w:t>
      </w:r>
      <w:r>
        <w:rPr>
          <w:rFonts w:ascii="Times New Roman" w:cs="Times New Roman" w:hAnsi="Times New Roman"/>
          <w:b/>
          <w:bCs/>
        </w:rPr>
        <w:t>. februārī</w:t>
      </w:r>
      <w:r>
        <w:rPr>
          <w:rFonts w:ascii="Times New Roman" w:cs="Times New Roman" w:hAnsi="Times New Roman"/>
          <w:b/>
          <w:bCs/>
        </w:rPr>
        <w:t xml:space="preserve"> plkst. 1</w:t>
      </w:r>
      <w:r>
        <w:rPr>
          <w:rFonts w:ascii="Times New Roman" w:cs="Times New Roman" w:hAnsi="Times New Roman"/>
          <w:b/>
          <w:bCs/>
        </w:rPr>
        <w:t>1</w:t>
      </w:r>
      <w:r>
        <w:rPr>
          <w:rFonts w:ascii="Times New Roman" w:cs="Times New Roman" w:hAnsi="Times New Roman"/>
          <w:b/>
          <w:bCs/>
        </w:rPr>
        <w:t>:00</w:t>
      </w:r>
      <w:r>
        <w:rPr>
          <w:rFonts w:ascii="Times New Roman" w:cs="Times New Roman" w:hAnsi="Times New Roman"/>
          <w:b/>
          <w:bCs/>
        </w:rPr>
        <w:t>,</w:t>
      </w:r>
      <w:r>
        <w:rPr>
          <w:rFonts w:ascii="Times New Roman" w:cs="Times New Roman" w:hAnsi="Times New Roman"/>
        </w:rPr>
        <w:t xml:space="preserve"> </w:t>
      </w:r>
      <w:r>
        <w:rPr>
          <w:rFonts w:ascii="Times New Roman" w:cs="Times New Roman" w:hAnsi="Times New Roman"/>
        </w:rPr>
        <w:t xml:space="preserve"> </w:t>
      </w:r>
      <w:r>
        <w:rPr>
          <w:rFonts w:ascii="Times New Roman" w:cs="Times New Roman" w:eastAsia="Times New Roman" w:hAnsi="Times New Roman"/>
          <w:color w:val="000000"/>
        </w:rPr>
        <w:t>Augšielā 1, Rīgā, Sabiedrības Administrācijas telpās.</w:t>
      </w:r>
    </w:p>
    <w:p w14:paraId="0000003E">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Piedāvājumu atvēršanas sanāksme ir atklāta un tajā var piedalīties visas ieinteresētās personas.</w:t>
      </w:r>
    </w:p>
    <w:p w14:paraId="0000003F">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 xml:space="preserve">Piedāvājumu atvēršanas sēde </w:t>
      </w:r>
      <w:r>
        <w:rPr>
          <w:rFonts w:ascii="Times New Roman" w:cs="Times New Roman" w:hAnsi="Times New Roman"/>
        </w:rPr>
        <w:t>tiek protokolēta</w:t>
      </w:r>
      <w:r>
        <w:rPr>
          <w:rFonts w:ascii="Times New Roman" w:cs="Times New Roman" w:hAnsi="Times New Roman"/>
        </w:rPr>
        <w:t>.</w:t>
      </w:r>
    </w:p>
    <w:p w14:paraId="00000040">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Atklājot piedāvājumu atvēršanu, Komisijas priekšsēdētājs nosauc izsoles objekta adresi un sastāvu, paziņo izsoles sākumcenu un informē par izsoles kārtību.</w:t>
      </w:r>
    </w:p>
    <w:p w14:paraId="00000041">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 xml:space="preserve">Komisijas priekšsēdētājs, atverot katru piedāvājumu to iesniegšanas secībā, nosauc nomas tiesību pretendentu, piedāvājuma iesniegšanas datumu un laiku, kā arī nomas tiesību pretendenta piedāvāto </w:t>
      </w:r>
      <w:r>
        <w:rPr>
          <w:rFonts w:ascii="Times New Roman" w:cs="Times New Roman" w:hAnsi="Times New Roman"/>
        </w:rPr>
        <w:t xml:space="preserve">nomas maksas apmēru. </w:t>
      </w:r>
    </w:p>
    <w:p w14:paraId="00000042">
      <w:pPr>
        <w:pStyle w:val="ListParagraph"/>
        <w:numPr>
          <w:ilvl w:val="1"/>
          <w:numId w:val="4"/>
        </w:numPr>
        <w:spacing w:after="0"/>
        <w:ind w:left="426" w:hanging="426"/>
        <w:jc w:val="both"/>
        <w:rPr>
          <w:rFonts w:ascii="Times New Roman" w:cs="Times New Roman" w:hAnsi="Times New Roman"/>
        </w:rPr>
      </w:pPr>
      <w:r>
        <w:rPr>
          <w:rFonts w:ascii="Times New Roman" w:cs="Times New Roman" w:hAnsi="Times New Roman"/>
        </w:rPr>
        <w:t>Pretendentu piedāvājumu atbilstības pārbaudi Nolikuma prasībām Komisija veic slēgtā</w:t>
      </w:r>
      <w:r>
        <w:rPr>
          <w:rFonts w:ascii="Times New Roman" w:cs="Times New Roman" w:hAnsi="Times New Roman"/>
        </w:rPr>
        <w:t>s</w:t>
      </w:r>
      <w:r>
        <w:rPr>
          <w:rFonts w:ascii="Times New Roman" w:cs="Times New Roman" w:hAnsi="Times New Roman"/>
        </w:rPr>
        <w:t xml:space="preserve"> sēd</w:t>
      </w:r>
      <w:r>
        <w:rPr>
          <w:rFonts w:ascii="Times New Roman" w:cs="Times New Roman" w:hAnsi="Times New Roman"/>
        </w:rPr>
        <w:t>ē</w:t>
      </w:r>
      <w:r>
        <w:rPr>
          <w:rFonts w:ascii="Times New Roman" w:cs="Times New Roman" w:hAnsi="Times New Roman"/>
        </w:rPr>
        <w:t>s.  Par izsoles rezultātiem visi pretendenti tiek informēti rakstveidā 3 (trīs) darba dienu laikā pēc lēmuma par izsoles uzvarētāju pieņemšanas.</w:t>
      </w:r>
    </w:p>
    <w:p w14:paraId="00000043">
      <w:pPr>
        <w:pStyle w:val="ListParagraph"/>
        <w:numPr>
          <w:ilvl w:val="1"/>
          <w:numId w:val="4"/>
        </w:numPr>
        <w:tabs>
          <w:tab w:val="left" w:pos="426"/>
          <w:tab w:val="left" w:pos="851"/>
        </w:tabs>
        <w:spacing w:after="0"/>
        <w:ind w:left="426" w:hanging="426"/>
        <w:jc w:val="both"/>
        <w:rPr>
          <w:rFonts w:ascii="Times New Roman" w:cs="Times New Roman" w:hAnsi="Times New Roman"/>
          <w:b/>
          <w:i/>
        </w:rPr>
      </w:pPr>
      <w:r>
        <w:rPr>
          <w:rFonts w:ascii="Times New Roman" w:cs="Times New Roman" w:hAnsi="Times New Roman"/>
        </w:rPr>
        <w:t>Komisija ir tiesīga pieņemt lēmumu par nomas tiesību pretendenta izslēgšanu no dalības izsolē un nomas pieteikumu tālāk neizskata, ja:</w:t>
      </w:r>
    </w:p>
    <w:p w14:paraId="00000044">
      <w:pPr>
        <w:pStyle w:val="ListParagraph"/>
        <w:numPr>
          <w:ilvl w:val="2"/>
          <w:numId w:val="4"/>
        </w:numPr>
        <w:spacing w:after="0"/>
        <w:ind w:left="993" w:hanging="567"/>
        <w:jc w:val="both"/>
        <w:rPr>
          <w:rFonts w:ascii="Times New Roman" w:cs="Times New Roman" w:hAnsi="Times New Roman"/>
          <w:b/>
          <w:i/>
        </w:rPr>
      </w:pPr>
      <w:r>
        <w:rPr>
          <w:rFonts w:ascii="Times New Roman" w:cs="Times New Roman" w:hAnsi="Times New Roman"/>
        </w:rPr>
        <w:t>piedāvājums nav noformēts atbilstoši Nolikuma 4.2.punktam vai piedāvājumā iztrūkst pieprasītā informācija;</w:t>
      </w:r>
    </w:p>
    <w:p w14:paraId="00000045">
      <w:pPr>
        <w:pStyle w:val="ListParagraph"/>
        <w:numPr>
          <w:ilvl w:val="2"/>
          <w:numId w:val="4"/>
        </w:numPr>
        <w:spacing w:after="0"/>
        <w:ind w:left="993" w:hanging="567"/>
        <w:jc w:val="both"/>
        <w:rPr>
          <w:rFonts w:ascii="Times New Roman" w:cs="Times New Roman" w:hAnsi="Times New Roman"/>
          <w:b/>
          <w:i/>
        </w:rPr>
      </w:pPr>
      <w:r>
        <w:rPr>
          <w:rFonts w:ascii="Times New Roman" w:cs="Times New Roman" w:hAnsi="Times New Roman"/>
        </w:rPr>
        <w:t xml:space="preserve">piedāvātais nomas maksas apmērs ir mazāks par Nolikuma </w:t>
      </w:r>
      <w:r>
        <w:rPr>
          <w:rFonts w:ascii="Times New Roman" w:cs="Times New Roman" w:hAnsi="Times New Roman"/>
        </w:rPr>
        <w:t>2.3.</w:t>
      </w:r>
      <w:r>
        <w:rPr>
          <w:rFonts w:ascii="Times New Roman" w:cs="Times New Roman" w:hAnsi="Times New Roman"/>
        </w:rPr>
        <w:t>punktā noteikto izsoles sākumcenu;</w:t>
      </w:r>
    </w:p>
    <w:p w14:paraId="00000046">
      <w:pPr>
        <w:pStyle w:val="ListParagraph"/>
        <w:numPr>
          <w:ilvl w:val="2"/>
          <w:numId w:val="4"/>
        </w:numPr>
        <w:spacing w:after="0"/>
        <w:ind w:left="993" w:hanging="567"/>
        <w:jc w:val="both"/>
        <w:rPr>
          <w:rFonts w:ascii="Times New Roman" w:cs="Times New Roman" w:hAnsi="Times New Roman"/>
          <w:b/>
          <w:i/>
        </w:rPr>
      </w:pPr>
      <w:r>
        <w:rPr>
          <w:rFonts w:ascii="Times New Roman" w:cs="Times New Roman" w:hAnsi="Times New Roman"/>
        </w:rPr>
        <w:t>pretendents ir iesniedzis nepatiesu informāciju;</w:t>
      </w:r>
    </w:p>
    <w:p w14:paraId="00000047">
      <w:pPr>
        <w:pStyle w:val="ListParagraph"/>
        <w:numPr>
          <w:ilvl w:val="2"/>
          <w:numId w:val="4"/>
        </w:numPr>
        <w:spacing w:after="0"/>
        <w:ind w:left="993" w:hanging="567"/>
        <w:jc w:val="both"/>
        <w:rPr>
          <w:rFonts w:ascii="Times New Roman" w:cs="Times New Roman" w:hAnsi="Times New Roman"/>
          <w:b/>
          <w:i/>
        </w:rPr>
      </w:pPr>
      <w:r>
        <w:rPr>
          <w:rFonts w:ascii="Times New Roman" w:cs="Times New Roman" w:hAnsi="Times New Roman"/>
        </w:rPr>
        <w:t>pieteikumu ir parakstījusi personas bez pretendenta pārstāvības tiesībām;</w:t>
      </w:r>
    </w:p>
    <w:p w14:paraId="00000048">
      <w:pPr>
        <w:pStyle w:val="ListParagraph"/>
        <w:numPr>
          <w:ilvl w:val="2"/>
          <w:numId w:val="4"/>
        </w:numPr>
        <w:spacing w:after="0"/>
        <w:ind w:left="993" w:hanging="567"/>
        <w:jc w:val="both"/>
        <w:rPr>
          <w:rFonts w:ascii="Times New Roman" w:cs="Times New Roman" w:hAnsi="Times New Roman"/>
          <w:b/>
          <w:i/>
        </w:rPr>
      </w:pPr>
      <w:r>
        <w:rPr>
          <w:rFonts w:ascii="Times New Roman" w:cs="Times New Roman" w:hAnsi="Times New Roman"/>
        </w:rPr>
        <w:t>pret pretendentu ir ierosināta maksātnespēja, pretendents atrodas bankrota, likvidācijas stadijā, pretendenta saimnieciskā darbība ir apturēta vai izbeigta;</w:t>
      </w:r>
    </w:p>
    <w:p w14:paraId="00000049">
      <w:pPr>
        <w:pStyle w:val="ListParagraph"/>
        <w:numPr>
          <w:ilvl w:val="2"/>
          <w:numId w:val="4"/>
        </w:numPr>
        <w:spacing w:after="0"/>
        <w:ind w:left="993" w:hanging="567"/>
        <w:jc w:val="both"/>
        <w:rPr>
          <w:rFonts w:ascii="Times New Roman" w:cs="Times New Roman" w:hAnsi="Times New Roman"/>
          <w:b/>
          <w:i/>
        </w:rPr>
      </w:pPr>
      <w:r>
        <w:rPr>
          <w:rFonts w:ascii="Times New Roman" w:cs="Times New Roman" w:hAnsi="Times New Roman"/>
        </w:rPr>
        <w:t xml:space="preserve">pretendentam ir Valsts ieņēmumu dienesta administrēto nodokļu (nodevu) parādi un to summa pārsniedz EUR 150,00 (viens simts piecdesmit </w:t>
      </w:r>
      <w:r>
        <w:rPr>
          <w:rFonts w:ascii="Times New Roman" w:cs="Times New Roman" w:hAnsi="Times New Roman"/>
        </w:rPr>
        <w:t>e</w:t>
      </w:r>
      <w:r>
        <w:rPr>
          <w:rFonts w:ascii="Times New Roman" w:cs="Times New Roman" w:hAnsi="Times New Roman"/>
        </w:rPr>
        <w:t>i</w:t>
      </w:r>
      <w:r>
        <w:rPr>
          <w:rFonts w:ascii="Times New Roman" w:cs="Times New Roman" w:hAnsi="Times New Roman"/>
        </w:rPr>
        <w:t>ro</w:t>
      </w:r>
      <w:r>
        <w:rPr>
          <w:rFonts w:ascii="Times New Roman" w:cs="Times New Roman" w:hAnsi="Times New Roman"/>
        </w:rPr>
        <w:t xml:space="preserve"> un 00 centi);</w:t>
      </w:r>
    </w:p>
    <w:p w14:paraId="0000004A">
      <w:pPr>
        <w:pStyle w:val="ListParagraph"/>
        <w:numPr>
          <w:ilvl w:val="1"/>
          <w:numId w:val="4"/>
        </w:numPr>
        <w:spacing w:after="0"/>
        <w:ind w:left="426" w:hanging="426"/>
        <w:jc w:val="both"/>
        <w:rPr>
          <w:rFonts w:ascii="Times New Roman" w:cs="Times New Roman" w:hAnsi="Times New Roman"/>
          <w:b/>
        </w:rPr>
      </w:pPr>
      <w:r>
        <w:rPr>
          <w:rFonts w:ascii="Times New Roman" w:cs="Times New Roman" w:hAnsi="Times New Roman"/>
        </w:rPr>
        <w:t>Par izsoles uzvarētāju tiek atzīts pretendents, kura piedāvājums atbilst Nolikuma prasībām un kurš ir nosolījis augstāko nomas maksu.</w:t>
      </w:r>
    </w:p>
    <w:p w14:paraId="0000004B">
      <w:pPr>
        <w:pStyle w:val="ListParagraph"/>
        <w:numPr>
          <w:ilvl w:val="1"/>
          <w:numId w:val="4"/>
        </w:numPr>
        <w:spacing w:after="0"/>
        <w:ind w:left="426" w:hanging="426"/>
        <w:jc w:val="both"/>
        <w:rPr>
          <w:rFonts w:ascii="Times New Roman" w:cs="Times New Roman" w:hAnsi="Times New Roman"/>
          <w:b/>
        </w:rPr>
      </w:pPr>
      <w:r>
        <w:rPr>
          <w:rFonts w:ascii="Times New Roman" w:cs="Times New Roman" w:hAnsi="Times New Roman"/>
        </w:rPr>
        <w:t>Ja pēc visu piedāvājumu atvēršanas Komisija konstatē, ka vairāki pretendenti piedāvājuši vienādu augstāko nomas maksu, Komisija veic vienu no šādām darbībām:</w:t>
      </w:r>
    </w:p>
    <w:p w14:paraId="0000004C">
      <w:pPr>
        <w:pStyle w:val="ListParagraph"/>
        <w:numPr>
          <w:ilvl w:val="2"/>
          <w:numId w:val="2"/>
        </w:numPr>
        <w:spacing w:after="0"/>
        <w:ind w:left="1276" w:hanging="556"/>
        <w:jc w:val="both"/>
        <w:rPr>
          <w:rFonts w:ascii="Times New Roman" w:cs="Times New Roman" w:hAnsi="Times New Roman"/>
          <w:b/>
          <w:i/>
        </w:rPr>
      </w:pPr>
      <w:r>
        <w:rPr>
          <w:rFonts w:ascii="Times New Roman" w:cs="Times New Roman" w:hAnsi="Times New Roman"/>
        </w:rPr>
        <w:t>turpina izsoli, pieņemot rakstiskus piedāvājumus no pretendentiem vai to pārstāvjiem, kas piedāvājuši vienādu augstāko nomas maksu, ja tie piedalās piedāvājumu atvēršanā, un organizē tūlītēju piedāvājumu atvēršanu;</w:t>
      </w:r>
    </w:p>
    <w:p w14:paraId="0000004D">
      <w:pPr>
        <w:pStyle w:val="ListParagraph"/>
        <w:numPr>
          <w:ilvl w:val="2"/>
          <w:numId w:val="2"/>
        </w:numPr>
        <w:spacing w:after="0"/>
        <w:ind w:left="1276" w:hanging="556"/>
        <w:jc w:val="both"/>
        <w:rPr>
          <w:rFonts w:ascii="Times New Roman" w:cs="Times New Roman" w:hAnsi="Times New Roman"/>
          <w:b/>
          <w:i/>
        </w:rPr>
      </w:pPr>
      <w:r>
        <w:rPr>
          <w:rFonts w:ascii="Times New Roman" w:cs="Times New Roman" w:hAnsi="Times New Roman"/>
        </w:rPr>
        <w:t xml:space="preserve">gadījumā, ja kāds no pretendentiem, kurš piedāvājis vienādu augstāko nomas maksu, nepiedalās izsolē, Komisija rakstiski lūdz pretendentiem, kuri piedāvājuši vienādu augstāko noma maksu, iesniegt savu piedāvājumu par iespējami </w:t>
      </w:r>
      <w:r>
        <w:rPr>
          <w:rFonts w:ascii="Times New Roman" w:cs="Times New Roman" w:hAnsi="Times New Roman"/>
        </w:rPr>
        <w:t>augstāko</w:t>
      </w:r>
      <w:r>
        <w:rPr>
          <w:rFonts w:ascii="Times New Roman" w:cs="Times New Roman" w:hAnsi="Times New Roman"/>
        </w:rPr>
        <w:t xml:space="preserve"> nomas maksu, ievērojot Noliku</w:t>
      </w:r>
      <w:r>
        <w:rPr>
          <w:rFonts w:ascii="Times New Roman" w:cs="Times New Roman" w:hAnsi="Times New Roman"/>
        </w:rPr>
        <w:t>ma 2.4.punktā minēto minimālo soli un</w:t>
      </w:r>
      <w:r>
        <w:rPr>
          <w:rFonts w:ascii="Times New Roman" w:cs="Times New Roman" w:hAnsi="Times New Roman"/>
        </w:rPr>
        <w:t xml:space="preserve"> nosak</w:t>
      </w:r>
      <w:r>
        <w:rPr>
          <w:rFonts w:ascii="Times New Roman" w:cs="Times New Roman" w:hAnsi="Times New Roman"/>
        </w:rPr>
        <w:t>a</w:t>
      </w:r>
      <w:r>
        <w:rPr>
          <w:rFonts w:ascii="Times New Roman" w:cs="Times New Roman" w:hAnsi="Times New Roman"/>
        </w:rPr>
        <w:t xml:space="preserve"> piedāvājumu iesniegšanas un atvēršanas datumu, laiku un vietu.</w:t>
      </w:r>
    </w:p>
    <w:p w14:paraId="0000004E">
      <w:pPr>
        <w:pStyle w:val="ListParagraph"/>
        <w:numPr>
          <w:ilvl w:val="1"/>
          <w:numId w:val="4"/>
        </w:numPr>
        <w:spacing w:after="0"/>
        <w:ind w:left="426" w:hanging="568"/>
        <w:jc w:val="both"/>
        <w:rPr>
          <w:rFonts w:ascii="Times New Roman" w:cs="Times New Roman" w:hAnsi="Times New Roman"/>
          <w:b/>
          <w:i/>
        </w:rPr>
      </w:pPr>
      <w:r>
        <w:rPr>
          <w:rFonts w:ascii="Times New Roman" w:cs="Times New Roman" w:hAnsi="Times New Roman"/>
        </w:rPr>
        <w:t xml:space="preserve">Ja neviens no nomas tiesību pretendentiem, kuri piedāvājuši augstāko nomas maksu, neiesniedz jaunu piedāvājumu par augstāko nomas maksu, tad Komisija piedāvājumu iesniegšanas secībā </w:t>
      </w:r>
      <w:r>
        <w:rPr>
          <w:rFonts w:ascii="Times New Roman" w:cs="Times New Roman" w:hAnsi="Times New Roman"/>
        </w:rPr>
        <w:t>rakstiski p</w:t>
      </w:r>
      <w:r>
        <w:rPr>
          <w:rFonts w:ascii="Times New Roman" w:cs="Times New Roman" w:hAnsi="Times New Roman"/>
        </w:rPr>
        <w:t>iedāvā šiem pretendentiem slēgt nomas līgumu atbilstoši nosolītajai nomas maksai.</w:t>
      </w:r>
    </w:p>
    <w:p w14:paraId="0000004F">
      <w:pPr>
        <w:pStyle w:val="ListParagraph"/>
        <w:numPr>
          <w:ilvl w:val="1"/>
          <w:numId w:val="4"/>
        </w:numPr>
        <w:spacing w:after="0"/>
        <w:ind w:left="426" w:hanging="568"/>
        <w:jc w:val="both"/>
        <w:rPr>
          <w:rFonts w:ascii="Times New Roman" w:cs="Times New Roman" w:hAnsi="Times New Roman"/>
          <w:b/>
          <w:i/>
        </w:rPr>
      </w:pPr>
      <w:r>
        <w:rPr>
          <w:rFonts w:ascii="Times New Roman" w:cs="Times New Roman" w:hAnsi="Times New Roman"/>
        </w:rPr>
        <w:t>Ja visu Pretendentu iesniegtie piedāvājumi neatbilst šīs izsoles Nolikuma prasībām, izsole ir izbeidzama bez rezultāta.</w:t>
      </w:r>
    </w:p>
    <w:p w14:paraId="00000050">
      <w:pPr>
        <w:pStyle w:val="ListParagraph"/>
        <w:numPr>
          <w:ilvl w:val="1"/>
          <w:numId w:val="4"/>
        </w:numPr>
        <w:spacing w:after="0"/>
        <w:ind w:left="426" w:hanging="568"/>
        <w:jc w:val="both"/>
        <w:rPr>
          <w:rFonts w:ascii="Times New Roman" w:cs="Times New Roman" w:hAnsi="Times New Roman"/>
          <w:b/>
          <w:i/>
        </w:rPr>
      </w:pPr>
      <w:r>
        <w:rPr>
          <w:rFonts w:ascii="Times New Roman" w:cs="Times New Roman" w:hAnsi="Times New Roman"/>
        </w:rPr>
        <w:t>Izsole tiek uzskatīta par nenotikušu, ja:</w:t>
      </w:r>
    </w:p>
    <w:p w14:paraId="00000051">
      <w:pPr>
        <w:pStyle w:val="ListParagraph"/>
        <w:numPr>
          <w:ilvl w:val="2"/>
          <w:numId w:val="3"/>
        </w:numPr>
        <w:spacing w:after="0"/>
        <w:jc w:val="both"/>
        <w:rPr>
          <w:rFonts w:ascii="Times New Roman" w:cs="Times New Roman" w:hAnsi="Times New Roman"/>
        </w:rPr>
      </w:pPr>
      <w:r>
        <w:rPr>
          <w:rFonts w:ascii="Times New Roman" w:cs="Times New Roman" w:hAnsi="Times New Roman"/>
        </w:rPr>
        <w:t>neviens pretendents nav iesniedzis pieteikumu;</w:t>
      </w:r>
    </w:p>
    <w:p w14:paraId="00000052">
      <w:pPr>
        <w:pStyle w:val="ListParagraph"/>
        <w:numPr>
          <w:ilvl w:val="2"/>
          <w:numId w:val="3"/>
        </w:numPr>
        <w:spacing w:after="0"/>
        <w:ind w:left="1418" w:hanging="698"/>
        <w:jc w:val="both"/>
        <w:rPr>
          <w:rFonts w:ascii="Times New Roman" w:cs="Times New Roman" w:hAnsi="Times New Roman"/>
        </w:rPr>
      </w:pPr>
      <w:r>
        <w:rPr>
          <w:rFonts w:ascii="Times New Roman" w:cs="Times New Roman" w:hAnsi="Times New Roman"/>
        </w:rPr>
        <w:t>neviens no pretendentiem, kurš ieguvis tiesības slēgt nomas līgumu, nenoslēdz to noteiktajā termiņā;</w:t>
      </w:r>
    </w:p>
    <w:p w14:paraId="00000053">
      <w:pPr>
        <w:pStyle w:val="ListParagraph"/>
        <w:numPr>
          <w:ilvl w:val="2"/>
          <w:numId w:val="3"/>
        </w:numPr>
        <w:spacing w:after="0"/>
        <w:jc w:val="both"/>
        <w:rPr>
          <w:rFonts w:ascii="Times New Roman" w:cs="Times New Roman" w:hAnsi="Times New Roman"/>
        </w:rPr>
      </w:pPr>
      <w:r>
        <w:rPr>
          <w:rFonts w:ascii="Times New Roman" w:cs="Times New Roman" w:hAnsi="Times New Roman"/>
        </w:rPr>
        <w:t>nomas tiesības iegūst pretendents, kuram nav bijušas tiesības piedalīties izsolē.</w:t>
      </w:r>
    </w:p>
    <w:p w14:paraId="00000054">
      <w:pPr>
        <w:pStyle w:val="ListParagraph"/>
        <w:numPr>
          <w:ilvl w:val="1"/>
          <w:numId w:val="4"/>
        </w:numPr>
        <w:spacing w:after="0"/>
        <w:ind w:left="426" w:hanging="568"/>
        <w:jc w:val="both"/>
        <w:rPr>
          <w:rFonts w:ascii="Times New Roman" w:cs="Times New Roman" w:hAnsi="Times New Roman"/>
          <w:b/>
          <w:i/>
        </w:rPr>
      </w:pPr>
      <w:r>
        <w:rPr>
          <w:rFonts w:ascii="Times New Roman" w:cs="Times New Roman" w:hAnsi="Times New Roman"/>
        </w:rPr>
        <w:t xml:space="preserve">Ja izsolei piesakās tikai viens pretendents un tā iesniegtais piedāvājums atbilst Nolikuma prasībām, izsoli atzīt par notikušu un ar vienīgo izsoles pretendentu, ja piedāvātā nomas maksa </w:t>
      </w:r>
      <w:r>
        <w:rPr>
          <w:rFonts w:ascii="Times New Roman" w:cs="Times New Roman" w:hAnsi="Times New Roman"/>
        </w:rPr>
        <w:t>nav maz</w:t>
      </w:r>
      <w:r>
        <w:rPr>
          <w:rFonts w:ascii="Times New Roman" w:cs="Times New Roman" w:hAnsi="Times New Roman"/>
        </w:rPr>
        <w:t xml:space="preserve">āka </w:t>
      </w:r>
      <w:r>
        <w:rPr>
          <w:rFonts w:ascii="Times New Roman" w:cs="Times New Roman" w:hAnsi="Times New Roman"/>
        </w:rPr>
        <w:t>par izsoles sākumcenu, slēdz nomas līgumu.</w:t>
      </w:r>
    </w:p>
    <w:p w14:paraId="00000055">
      <w:pPr>
        <w:pStyle w:val="ListParagraph"/>
        <w:numPr>
          <w:ilvl w:val="1"/>
          <w:numId w:val="4"/>
        </w:numPr>
        <w:spacing w:after="0"/>
        <w:ind w:left="426" w:hanging="568"/>
        <w:jc w:val="both"/>
        <w:rPr>
          <w:rFonts w:ascii="Times New Roman" w:cs="Times New Roman" w:hAnsi="Times New Roman"/>
          <w:b/>
          <w:i/>
        </w:rPr>
      </w:pPr>
      <w:r>
        <w:rPr>
          <w:rFonts w:ascii="Times New Roman" w:cs="Times New Roman" w:hAnsi="Times New Roman"/>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6">
      <w:pPr>
        <w:pStyle w:val="ListParagraph"/>
        <w:numPr>
          <w:ilvl w:val="1"/>
          <w:numId w:val="4"/>
        </w:numPr>
        <w:spacing w:after="0"/>
        <w:ind w:left="426" w:hanging="568"/>
        <w:jc w:val="both"/>
        <w:rPr>
          <w:rFonts w:ascii="Times New Roman" w:cs="Times New Roman" w:hAnsi="Times New Roman"/>
          <w:b/>
          <w:i/>
        </w:rPr>
      </w:pPr>
      <w:r>
        <w:rPr>
          <w:rFonts w:ascii="Times New Roman" w:cs="Times New Roman" w:hAnsi="Times New Roman"/>
        </w:rPr>
        <w:t>Komisija patur tiesības jebkurā brīdī pārtraukt izsoli, ja tā konstatē jebkādas nepilnības Nolikumā.</w:t>
      </w:r>
    </w:p>
    <w:p w14:paraId="00000057">
      <w:pPr>
        <w:pStyle w:val="ListParagraph"/>
        <w:numPr>
          <w:ilvl w:val="1"/>
          <w:numId w:val="4"/>
        </w:numPr>
        <w:spacing w:after="0"/>
        <w:ind w:left="426" w:hanging="568"/>
        <w:jc w:val="both"/>
        <w:rPr>
          <w:rFonts w:ascii="Times New Roman" w:cs="Times New Roman" w:hAnsi="Times New Roman"/>
          <w:b/>
          <w:i/>
        </w:rPr>
      </w:pPr>
      <w:r>
        <w:rPr>
          <w:rFonts w:ascii="Times New Roman" w:cs="Times New Roman" w:hAnsi="Times New Roman"/>
        </w:rPr>
        <w:t xml:space="preserve">Pēc lēmuma pieņemšanas par izsoles uzvarētāju, Sabiedrība paziņo izsoles rezultātus visiem pretendentiem, nosūtot rakstisku paziņojumu 3 (trīs) darba dienu laikā no lēmuma </w:t>
      </w:r>
      <w:r>
        <w:rPr>
          <w:rFonts w:ascii="Times New Roman" w:cs="Times New Roman" w:hAnsi="Times New Roman"/>
        </w:rPr>
        <w:t xml:space="preserve">par izsoles uzvarētāju </w:t>
      </w:r>
      <w:r>
        <w:rPr>
          <w:rFonts w:ascii="Times New Roman" w:cs="Times New Roman" w:hAnsi="Times New Roman"/>
        </w:rPr>
        <w:t>pieņemšanas.</w:t>
      </w:r>
    </w:p>
    <w:p w14:paraId="00000058">
      <w:pPr>
        <w:spacing w:after="0"/>
        <w:jc w:val="both"/>
        <w:rPr>
          <w:rFonts w:ascii="Times New Roman" w:cs="Times New Roman" w:hAnsi="Times New Roman"/>
          <w:b/>
          <w:i/>
        </w:rPr>
      </w:pPr>
    </w:p>
    <w:p w14:paraId="00000059">
      <w:pPr>
        <w:pStyle w:val="ListParagraph"/>
        <w:numPr>
          <w:ilvl w:val="0"/>
          <w:numId w:val="4"/>
        </w:numPr>
        <w:spacing w:after="0"/>
        <w:jc w:val="center"/>
        <w:rPr>
          <w:rFonts w:ascii="Times New Roman" w:cs="Times New Roman" w:hAnsi="Times New Roman"/>
          <w:b/>
        </w:rPr>
      </w:pPr>
      <w:r>
        <w:rPr>
          <w:rFonts w:ascii="Times New Roman" w:cs="Times New Roman" w:hAnsi="Times New Roman"/>
          <w:b/>
        </w:rPr>
        <w:t>Nomas līguma noslēgšana</w:t>
      </w:r>
    </w:p>
    <w:p w14:paraId="0000005A">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Sabiedrība noslēdz nomas līgumu (</w:t>
      </w:r>
      <w:r>
        <w:rPr>
          <w:rFonts w:ascii="Times New Roman" w:cs="Times New Roman" w:hAnsi="Times New Roman"/>
        </w:rPr>
        <w:t xml:space="preserve">Nolikuma </w:t>
      </w:r>
      <w:r>
        <w:rPr>
          <w:rFonts w:ascii="Times New Roman" w:cs="Times New Roman" w:hAnsi="Times New Roman"/>
        </w:rPr>
        <w:t>2</w:t>
      </w:r>
      <w:r>
        <w:rPr>
          <w:rFonts w:ascii="Times New Roman" w:cs="Times New Roman" w:hAnsi="Times New Roman"/>
        </w:rPr>
        <w:t>.pielikums)</w:t>
      </w:r>
      <w:r>
        <w:rPr>
          <w:rFonts w:ascii="Times New Roman" w:cs="Times New Roman" w:hAnsi="Times New Roman"/>
        </w:rPr>
        <w:t xml:space="preserve"> ar pretendentu, kurš uzvarējis izsolē.</w:t>
      </w:r>
    </w:p>
    <w:p w14:paraId="0000005B">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Ja pretendents atsakās noslēgt līgumu, tad viņš paziņo 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C">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Ja pretendents, kurš piedāvājis augstāko nomas maksu, atsakās slēgt nomas līgumu, Sabiedrība secīgi piedāvā nomas līgumu slēgt tam pretendentam, kurš piedāvājis nākamo augstāko nomas maksu.</w:t>
      </w:r>
    </w:p>
    <w:p w14:paraId="0000005D">
      <w:pPr>
        <w:pStyle w:val="ListParagraph"/>
        <w:numPr>
          <w:ilvl w:val="1"/>
          <w:numId w:val="4"/>
        </w:numPr>
        <w:spacing w:after="0"/>
        <w:ind w:left="426" w:hanging="426"/>
        <w:jc w:val="both"/>
        <w:rPr>
          <w:rFonts w:ascii="Times New Roman" w:cs="Times New Roman" w:hAnsi="Times New Roman"/>
          <w:b/>
          <w:i/>
        </w:rPr>
      </w:pPr>
      <w:r>
        <w:rPr>
          <w:rFonts w:ascii="Times New Roman" w:cs="Times New Roman" w:hAnsi="Times New Roman"/>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„Telpu un aprīkojuma noma” apakšsadaļā “Iznomātie nekustamie īpašumi”,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5F">
      <w:pPr>
        <w:pStyle w:val="ListParagraph"/>
        <w:numPr>
          <w:ilvl w:val="0"/>
          <w:numId w:val="4"/>
        </w:numPr>
        <w:spacing w:after="0"/>
        <w:jc w:val="center"/>
        <w:rPr>
          <w:rFonts w:ascii="Times New Roman" w:cs="Times New Roman" w:hAnsi="Times New Roman"/>
          <w:b/>
        </w:rPr>
      </w:pPr>
      <w:r>
        <w:rPr>
          <w:rFonts w:ascii="Times New Roman" w:cs="Times New Roman" w:hAnsi="Times New Roman"/>
          <w:b/>
        </w:rPr>
        <w:t>Pielikumi</w:t>
      </w:r>
    </w:p>
    <w:p w14:paraId="00000060">
      <w:pPr>
        <w:pStyle w:val="ListParagraph"/>
        <w:numPr>
          <w:ilvl w:val="1"/>
          <w:numId w:val="4"/>
        </w:numPr>
        <w:spacing w:after="0"/>
        <w:ind w:left="426" w:hanging="426"/>
        <w:rPr>
          <w:rFonts w:ascii="Times New Roman" w:cs="Times New Roman" w:hAnsi="Times New Roman"/>
        </w:rPr>
      </w:pPr>
      <w:r>
        <w:rPr>
          <w:rFonts w:ascii="Times New Roman" w:cs="Times New Roman" w:hAnsi="Times New Roman"/>
        </w:rPr>
        <w:t>1.</w:t>
      </w:r>
      <w:r>
        <w:rPr>
          <w:rFonts w:ascii="Times New Roman" w:cs="Times New Roman" w:hAnsi="Times New Roman"/>
        </w:rPr>
        <w:t>pielikums - Izsoles pieteikuma veidlapa uz 1</w:t>
      </w:r>
      <w:r>
        <w:rPr>
          <w:rFonts w:ascii="Times New Roman" w:cs="Times New Roman" w:hAnsi="Times New Roman"/>
        </w:rPr>
        <w:t xml:space="preserve"> </w:t>
      </w:r>
      <w:r>
        <w:rPr>
          <w:rFonts w:ascii="Times New Roman" w:cs="Times New Roman" w:hAnsi="Times New Roman"/>
        </w:rPr>
        <w:t>lap</w:t>
      </w:r>
      <w:r>
        <w:rPr>
          <w:rFonts w:ascii="Times New Roman" w:cs="Times New Roman" w:hAnsi="Times New Roman"/>
        </w:rPr>
        <w:t>as</w:t>
      </w:r>
      <w:r>
        <w:rPr>
          <w:rFonts w:ascii="Times New Roman" w:cs="Times New Roman" w:hAnsi="Times New Roman"/>
        </w:rPr>
        <w:t>;</w:t>
      </w:r>
    </w:p>
    <w:p w14:paraId="00000061">
      <w:pPr>
        <w:pStyle w:val="ListParagraph"/>
        <w:numPr>
          <w:ilvl w:val="1"/>
          <w:numId w:val="4"/>
        </w:numPr>
        <w:spacing w:after="0"/>
        <w:ind w:left="426" w:hanging="426"/>
        <w:rPr>
          <w:rFonts w:ascii="Times New Roman" w:cs="Times New Roman" w:hAnsi="Times New Roman"/>
        </w:rPr>
      </w:pPr>
      <w:r>
        <w:rPr>
          <w:rFonts w:ascii="Times New Roman" w:cs="Times New Roman" w:hAnsi="Times New Roman"/>
        </w:rPr>
        <w:t>2</w:t>
      </w:r>
      <w:r>
        <w:rPr>
          <w:rFonts w:ascii="Times New Roman" w:cs="Times New Roman" w:hAnsi="Times New Roman"/>
        </w:rPr>
        <w:t xml:space="preserve">.pielikums -  </w:t>
      </w:r>
      <w:r>
        <w:rPr>
          <w:rFonts w:ascii="Times New Roman" w:cs="Times New Roman" w:hAnsi="Times New Roman"/>
        </w:rPr>
        <w:t xml:space="preserve">Tenisa kortu </w:t>
      </w:r>
      <w:r>
        <w:rPr>
          <w:rFonts w:ascii="Times New Roman" w:cs="Times New Roman" w:hAnsi="Times New Roman"/>
        </w:rPr>
        <w:t xml:space="preserve">nomas līguma projekts uz </w:t>
      </w:r>
      <w:r>
        <w:rPr>
          <w:rFonts w:ascii="Times New Roman" w:cs="Times New Roman" w:hAnsi="Times New Roman"/>
        </w:rPr>
        <w:t xml:space="preserve">6 </w:t>
      </w:r>
      <w:r>
        <w:rPr>
          <w:rFonts w:ascii="Times New Roman" w:cs="Times New Roman" w:hAnsi="Times New Roman"/>
        </w:rPr>
        <w:t>lapām.</w:t>
      </w:r>
    </w:p>
    <w:p w14:paraId="00000062">
      <w:pPr>
        <w:spacing w:after="0"/>
        <w:jc w:val="both"/>
        <w:rPr>
          <w:rFonts w:ascii="Times New Roman" w:cs="Times New Roman" w:hAnsi="Times New Roman"/>
          <w:b/>
          <w:i/>
        </w:rPr>
      </w:pPr>
    </w:p>
    <w:p w14:paraId="00000063">
      <w:pPr>
        <w:spacing w:after="0"/>
        <w:jc w:val="both"/>
        <w:rPr>
          <w:rFonts w:ascii="Times New Roman" w:cs="Times New Roman" w:hAnsi="Times New Roman"/>
          <w:b/>
          <w:i/>
        </w:rPr>
      </w:pPr>
    </w:p>
    <w:p w14:paraId="00000064">
      <w:pPr>
        <w:spacing w:after="0"/>
        <w:jc w:val="both"/>
        <w:rPr>
          <w:rFonts w:ascii="Times New Roman" w:cs="Times New Roman" w:hAnsi="Times New Roman"/>
          <w:b/>
          <w:i/>
        </w:rPr>
      </w:pPr>
    </w:p>
    <w:p w14:paraId="00000065">
      <w:pPr>
        <w:spacing w:after="0"/>
        <w:jc w:val="both"/>
        <w:rPr>
          <w:rFonts w:ascii="Times New Roman" w:cs="Times New Roman" w:hAnsi="Times New Roman"/>
        </w:rPr>
      </w:pPr>
      <w:r>
        <w:rPr>
          <w:rFonts w:ascii="Times New Roman" w:cs="Times New Roman" w:hAnsi="Times New Roman"/>
        </w:rPr>
        <w:t xml:space="preserve">Komisijas priekšsēdētājs </w:t>
      </w:r>
    </w:p>
    <w:p w14:paraId="00000066">
      <w:pPr>
        <w:spacing w:after="0"/>
        <w:jc w:val="both"/>
        <w:rPr>
          <w:rFonts w:ascii="Times New Roman" w:cs="Times New Roman" w:hAnsi="Times New Roman"/>
        </w:rPr>
      </w:pPr>
      <w:r>
        <w:rPr>
          <w:rFonts w:ascii="Times New Roman" w:cs="Times New Roman" w:hAnsi="Times New Roman"/>
        </w:rPr>
        <w:t xml:space="preserve">J. Valters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p>
    <w:p w14:paraId="00000067"/>
    <w:p w14:paraId="00000068"/>
    <w:sectPr>
      <w:headerReference w:type="default" r:id="rId25"/>
      <w:footerReference w:type="default" r:id="rId26"/>
      <w:footerReference w:type="first" r:id="rId27"/>
      <w:pgSz w:w="11906" w:h="16838"/>
      <w:pgMar w:top="709" w:right="1274" w:bottom="1135"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B">
    <w:pPr>
      <w:pStyle w:val="Footer"/>
      <w:jc w:val="right"/>
      <w:rPr>
        <w:rFonts w:ascii="Times New Roman" w:cs="Times New Roman" w:hAnsi="Times New Roman"/>
      </w:rPr>
    </w:pPr>
    <w:r>
      <w:rPr>
        <w:rFonts w:ascii="Times New Roman" w:cs="Times New Roman" w:hAnsi="Times New Roman"/>
      </w:rPr>
      <w:fldChar w:fldCharType="begin"/>
    </w:r>
    <w:r>
      <w:rPr>
        <w:rFonts w:ascii="Times New Roman" w:cs="Times New Roman" w:hAnsi="Times New Roman"/>
      </w:rPr>
      <w:instrText xml:space="preserve"> PAGE   \* MERGEFORMAT </w:instrText>
    </w:r>
    <w:r>
      <w:rPr>
        <w:rFonts w:ascii="Times New Roman" w:cs="Times New Roman" w:hAnsi="Times New Roman"/>
      </w:rPr>
      <w:fldChar w:fldCharType="separate"/>
    </w:r>
    <w:r>
      <w:rPr>
        <w:rFonts w:ascii="Times New Roman" w:cs="Times New Roman" w:hAnsi="Times New Roman"/>
      </w:rPr>
      <w:t>2</w:t>
    </w:r>
    <w:r>
      <w:rPr>
        <w:rFonts w:ascii="Times New Roman" w:cs="Times New Roman" w:hAnsi="Times New Roman"/>
      </w:rPr>
      <w:fldChar w:fldCharType="end"/>
    </w:r>
  </w:p>
  <w:p w14:paraId="0000006C">
    <w:pPr>
      <w:pStyle w:val="Foo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D">
    <w:pPr>
      <w:pStyle w:val="Footer"/>
      <w:jc w:val="right"/>
      <w:rPr>
        <w:rFonts w:ascii="Times New Roman" w:cs="Times New Roman" w:hAnsi="Times New Roman"/>
        <w:sz w:val="20"/>
        <w:szCs w:val="20"/>
      </w:rPr>
    </w:pPr>
    <w:r>
      <w:rPr>
        <w:rFonts w:ascii="Times New Roman" w:cs="Times New Roman" w:hAnsi="Times New Roman"/>
        <w:sz w:val="20"/>
        <w:szCs w:val="20"/>
      </w:rPr>
      <w:t xml:space="preserve">Lapa </w:t>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 </w:instrText>
    </w:r>
    <w:r>
      <w:rPr>
        <w:rFonts w:ascii="Times New Roman" w:cs="Times New Roman" w:hAnsi="Times New Roman"/>
        <w:sz w:val="20"/>
        <w:szCs w:val="20"/>
      </w:rPr>
      <w:fldChar w:fldCharType="separate"/>
    </w:r>
    <w:r>
      <w:rPr>
        <w:rFonts w:ascii="Times New Roman" w:cs="Times New Roman" w:hAnsi="Times New Roman"/>
        <w:sz w:val="20"/>
        <w:szCs w:val="20"/>
      </w:rPr>
      <w:t>1</w:t>
    </w:r>
    <w:r>
      <w:rPr>
        <w:rFonts w:ascii="Times New Roman" w:cs="Times New Roman" w:hAnsi="Times New Roman"/>
        <w:sz w:val="20"/>
        <w:szCs w:val="20"/>
      </w:rPr>
      <w:fldChar w:fldCharType="end"/>
    </w:r>
    <w:r>
      <w:rPr>
        <w:rFonts w:ascii="Times New Roman" w:cs="Times New Roman" w:hAnsi="Times New Roman"/>
        <w:sz w:val="20"/>
        <w:szCs w:val="20"/>
      </w:rPr>
      <w:t xml:space="preserve"> no </w:t>
    </w:r>
    <w:r>
      <w:rPr>
        <w:rFonts w:ascii="Times New Roman" w:cs="Times New Roman" w:hAnsi="Times New Roman"/>
        <w:sz w:val="20"/>
        <w:szCs w:val="20"/>
      </w:rPr>
      <w:fldChar w:fldCharType="begin"/>
    </w:r>
    <w:r>
      <w:rPr>
        <w:rFonts w:ascii="Times New Roman" w:cs="Times New Roman" w:hAnsi="Times New Roman"/>
        <w:sz w:val="20"/>
        <w:szCs w:val="20"/>
      </w:rPr>
      <w:instrText xml:space="preserve"> NUMPAGES  </w:instrText>
    </w:r>
    <w:r>
      <w:rPr>
        <w:rFonts w:ascii="Times New Roman" w:cs="Times New Roman" w:hAnsi="Times New Roman"/>
        <w:sz w:val="20"/>
        <w:szCs w:val="20"/>
      </w:rPr>
      <w:fldChar w:fldCharType="separate"/>
    </w:r>
    <w:r>
      <w:rPr>
        <w:rFonts w:ascii="Times New Roman" w:cs="Times New Roman" w:hAnsi="Times New Roman"/>
        <w:sz w:val="20"/>
        <w:szCs w:val="20"/>
      </w:rPr>
      <w:t>4</w:t>
    </w:r>
    <w:r>
      <w:rPr>
        <w:rFonts w:ascii="Times New Roman" w:cs="Times New Roman" w:hAnsi="Times New Roman"/>
        <w:sz w:val="20"/>
        <w:szCs w:val="20"/>
      </w:rPr>
      <w:fldChar w:fldCharType="end"/>
    </w:r>
  </w:p>
  <w:p w14:paraId="0000006E">
    <w:pPr>
      <w:pStyle w:val="Footer"/>
      <w:rPr>
        <w:rFonts w:ascii="Times New Roman" w:cs="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9">
    <w:pPr>
      <w:pStyle w:val="Header"/>
      <w:jc w:val="center"/>
      <w:rPr>
        <w:rFonts w:ascii="Times New Roman" w:cs="Times New Roman" w:hAnsi="Times New Roman"/>
      </w:rPr>
    </w:pPr>
  </w:p>
  <w:p w14:paraId="0000006A">
    <w:pPr>
      <w:pStyle w:val="Header"/>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5.9.%3."/>
      <w:lvlJc w:val="left"/>
      <w:pPr>
        <w:ind w:left="1224" w:hanging="504"/>
      </w:pPr>
      <w:rPr>
        <w:rFonts w:hint="default"/>
        <w:b w:val="off"/>
        <w:i w:val="off"/>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
    <w:multiLevelType w:val="multilevel"/>
    <w:lvl w:ilvl="0" w:tentative="0">
      <w:start w:val="1"/>
      <w:numFmt w:val="decimal"/>
      <w:lvlText w:val="%1."/>
      <w:lvlJc w:val="left"/>
      <w:pPr>
        <w:ind w:left="360" w:hanging="360"/>
      </w:pPr>
      <w:rPr>
        <w:rFonts w:hint="default"/>
      </w:rPr>
    </w:lvl>
    <w:lvl w:ilvl="1" w:tentative="0">
      <w:start w:val="1"/>
      <w:numFmt w:val="decimal"/>
      <w:lvlText w:val="%1.%2."/>
      <w:lvlJc w:val="left"/>
      <w:pPr>
        <w:ind w:left="720" w:hanging="504"/>
      </w:pPr>
      <w:rPr>
        <w:rFonts w:hint="default"/>
        <w:b w:val="off"/>
        <w:i w:val="off"/>
        <w:color w:val="000000"/>
      </w:rPr>
    </w:lvl>
    <w:lvl w:ilvl="2" w:tentative="0">
      <w:start w:val="1"/>
      <w:numFmt w:val="decimal"/>
      <w:lvlText w:val="%1.%2.%3."/>
      <w:lvlJc w:val="left"/>
      <w:pPr>
        <w:ind w:left="1224" w:hanging="504"/>
      </w:pPr>
      <w:rPr>
        <w:rFonts w:ascii="Times New Roman" w:cs="Times New Roman" w:eastAsia="Arial" w:hAnsi="Times New Roman" w:hint="default"/>
        <w:b w:val="off"/>
        <w:i w:val="off"/>
        <w:u w:val="none"/>
      </w:rPr>
    </w:lvl>
    <w:lvl w:ilvl="3" w:tentative="0">
      <w:start w:val="1"/>
      <w:numFmt w:val="decimal"/>
      <w:lvlText w:val="%1.%2.%3.%4."/>
      <w:lvlJc w:val="left"/>
      <w:pPr>
        <w:ind w:left="1728" w:hanging="647"/>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3"/>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
    <w:multiLevelType w:val="multilevel"/>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4.8.%3."/>
      <w:lvlJc w:val="left"/>
      <w:pPr>
        <w:ind w:left="1224" w:hanging="504"/>
      </w:pPr>
      <w:rPr>
        <w:rFonts w:hint="default"/>
        <w:b w:val="off"/>
        <w:i w:val="off"/>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3">
    <w:multiLevelType w:val="multilevel"/>
    <w:lvl w:ilvl="0" w:tentative="0">
      <w:start w:val="1"/>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5.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EE"/>
    <w:rsid w:val="00002A2B"/>
    <w:rsid w:val="0011285C"/>
    <w:rsid w:val="0015636A"/>
    <w:rsid w:val="003F300B"/>
    <w:rsid w:val="00643C1C"/>
    <w:rsid w:val="00A76FDC"/>
    <w:rsid w:val="00DF4833"/>
    <w:rsid w:val="00F937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B0DD"/>
  <w15:chartTrackingRefBased/>
  <w15:docId w15:val="{787BD844-591B-4DC1-AEE8-19300487803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ListParagraph">
    <w:name w:val="List Paragraph"/>
    <w:basedOn w:val="Normal"/>
    <w:uiPriority w:val="34"/>
    <w:qFormat w:val="on"/>
    <w:pPr>
      <w:ind w:left="720"/>
      <w:contextualSpacing w:val="on"/>
    </w:pPr>
  </w:style>
  <w:style w:type="character" w:styleId="Hyperlink">
    <w:name w:val="Hyperlink"/>
    <w:basedOn w:val="DefaultParagraphFont"/>
    <w:uiPriority w:val="99"/>
    <w:unhideWhenUsed w:val="on"/>
    <w:rPr>
      <w:color w:val="0563c1" w:themeColor="hyperlink"/>
      <w:u w:val="single"/>
    </w:rPr>
  </w:style>
  <w:style w:type="paragraph" w:styleId="Header">
    <w:name w:val="Header"/>
    <w:basedOn w:val="Normal"/>
    <w:link w:val="HeaderChar"/>
    <w:uiPriority w:val="99"/>
    <w:unhideWhenUsed w:val="on"/>
    <w:pPr>
      <w:tabs>
        <w:tab w:val="center" w:pos="4153"/>
        <w:tab w:val="right" w:pos="8306"/>
      </w:tabs>
      <w:spacing w:after="0" w:line="240" w:lineRule="auto"/>
    </w:pPr>
  </w:style>
  <w:style w:type="character" w:customStyle="1" w:styleId="HeaderChar">
    <w:name w:val="Header Char"/>
    <w:basedOn w:val="DefaultParagraphFont"/>
    <w:link w:val="Header"/>
    <w:uiPriority w:val="99"/>
    <w:rPr/>
  </w:style>
  <w:style w:type="paragraph" w:styleId="Footer">
    <w:name w:val="Footer"/>
    <w:basedOn w:val="Normal"/>
    <w:link w:val="FooterChar"/>
    <w:uiPriority w:val="99"/>
    <w:unhideWhenUsed w:val="on"/>
    <w:pPr>
      <w:tabs>
        <w:tab w:val="center" w:pos="4153"/>
        <w:tab w:val="right" w:pos="8306"/>
      </w:tabs>
      <w:spacing w:after="0" w:line="240" w:lineRule="auto"/>
    </w:pPr>
  </w:style>
  <w:style w:type="character" w:customStyle="1" w:styleId="FooterChar">
    <w:name w:val="Footer Char"/>
    <w:basedOn w:val="DefaultParagraphFont"/>
    <w:link w:val="Footer"/>
    <w:uiPriority w:val="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theme" Target="theme/theme1.xml"/><Relationship Id="rId2" Type="http://schemas.openxmlformats.org/officeDocument/2006/relationships/styles" Target="styles.xm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oter" Target="footer2.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lnsc.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7501</Words>
  <Characters>4277</Characters>
  <Application>Microsoft Office Word</Application>
  <DocSecurity>0</DocSecurity>
  <Lines>35</Lines>
  <Paragraphs>23</Paragraphs>
  <ScaleCrop>false</ScaleCrop>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